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440001-2023-57819</w:t>
      </w:r>
    </w:p>
    <w:p>
      <w:pPr>
        <w:jc w:val="center"/>
      </w:pPr>
      <w:r>
        <w:rPr>
          <w:b/>
          <w:sz w:val="24"/>
        </w:rPr>
        <w:t>采购项目编号：</w:t>
      </w:r>
      <w:r>
        <w:rPr>
          <w:b/>
          <w:sz w:val="24"/>
        </w:rPr>
        <w:t>1371-2341GDGH1332</w:t>
      </w:r>
    </w:p>
    <w:p>
      <w:pPr>
        <w:jc w:val="center"/>
      </w:pPr>
      <w:r>
        <w:rPr>
          <w:b/>
          <w:sz w:val="24"/>
        </w:rPr>
        <w:t>项目名称：</w:t>
      </w:r>
      <w:r>
        <w:rPr>
          <w:b/>
          <w:sz w:val="24"/>
        </w:rPr>
        <w:t>荧光量子效率测量系统等设备采购</w:t>
      </w:r>
    </w:p>
    <w:p>
      <w:pPr>
        <w:jc w:val="center"/>
      </w:pPr>
      <w:r>
        <w:rPr>
          <w:b/>
          <w:sz w:val="24"/>
        </w:rPr>
        <w:t>采购人：</w:t>
      </w:r>
      <w:r>
        <w:rPr>
          <w:b/>
          <w:sz w:val="24"/>
        </w:rPr>
        <w:t>广东工业大学</w:t>
      </w:r>
    </w:p>
    <w:p>
      <w:pPr>
        <w:jc w:val="center"/>
      </w:pPr>
      <w:r>
        <w:rPr>
          <w:b/>
          <w:sz w:val="24"/>
        </w:rPr>
        <w:t>采购代理机构：</w:t>
      </w:r>
      <w:r>
        <w:rPr>
          <w:b/>
          <w:sz w:val="24"/>
        </w:rPr>
        <w:t>广东国和采购咨询有限公司</w:t>
      </w:r>
    </w:p>
    <w:p>
      <w:pPr>
        <w:ind w:firstLine="480"/>
      </w:pPr>
    </w:p>
    <w:p>
      <w:r>
        <w:rPr/>
        <w:t xml:space="preserve"> </w:t>
      </w:r>
    </w:p>
    <w:p/>
    <w:p>
      <w:pPr>
        <w:jc w:val="center"/>
      </w:pPr>
      <w:r>
        <w:rPr>
          <w:b/>
          <w:sz w:val="36"/>
        </w:rPr>
        <w:t>第一章投标邀请</w:t>
      </w:r>
    </w:p>
    <w:p>
      <w:pPr>
        <w:ind w:firstLine="480"/>
      </w:pPr>
      <w:r>
        <w:rPr/>
        <w:t>广东国和采购咨询有限公司</w:t>
      </w:r>
      <w:r>
        <w:rPr/>
        <w:t>受</w:t>
      </w:r>
      <w:r>
        <w:rPr/>
        <w:t>广东工业大学</w:t>
      </w:r>
      <w:r>
        <w:rPr/>
        <w:t>的委托，采用</w:t>
      </w:r>
      <w:r>
        <w:rPr/>
        <w:t>公开招标</w:t>
      </w:r>
      <w:r>
        <w:rPr/>
        <w:t>方式组织采购</w:t>
      </w:r>
      <w:r>
        <w:rPr/>
        <w:t>荧光量子效率测量系统等设备采购</w:t>
      </w:r>
      <w:r>
        <w:rPr/>
        <w:t>。欢迎符合资格条件的国内供应商参加投标。</w:t>
      </w:r>
    </w:p>
    <w:p>
      <w:r>
        <w:rPr>
          <w:b/>
          <w:sz w:val="28"/>
        </w:rPr>
        <w:t>一.项目概述</w:t>
      </w:r>
    </w:p>
    <w:p>
      <w:r>
        <w:rPr>
          <w:b/>
          <w:sz w:val="24"/>
        </w:rPr>
        <w:t>1.名称与编号</w:t>
      </w:r>
    </w:p>
    <w:p>
      <w:pPr>
        <w:ind w:firstLine="480"/>
      </w:pPr>
      <w:r>
        <w:rPr/>
        <w:t>项目名称：</w:t>
      </w:r>
      <w:r>
        <w:rPr/>
        <w:t>荧光量子效率测量系统等设备采购</w:t>
      </w:r>
    </w:p>
    <w:p>
      <w:pPr>
        <w:ind w:firstLine="480"/>
      </w:pPr>
      <w:r>
        <w:rPr/>
        <w:t>采购计划编号：</w:t>
      </w:r>
      <w:r>
        <w:rPr/>
        <w:t>440001-2023-57819</w:t>
      </w:r>
    </w:p>
    <w:p>
      <w:pPr>
        <w:ind w:firstLine="480"/>
      </w:pPr>
      <w:r>
        <w:rPr/>
        <w:t>采购项目编号：</w:t>
      </w:r>
      <w:r>
        <w:rPr/>
        <w:t>1371-2341GDGH1332</w:t>
      </w:r>
    </w:p>
    <w:p>
      <w:pPr>
        <w:ind w:firstLine="480"/>
      </w:pPr>
      <w:r>
        <w:rPr/>
        <w:t>采购方式：</w:t>
      </w:r>
      <w:r>
        <w:rPr/>
        <w:t>公开招标</w:t>
      </w:r>
    </w:p>
    <w:p>
      <w:pPr>
        <w:ind w:firstLine="480"/>
      </w:pPr>
      <w:r>
        <w:rPr/>
        <w:t>预算金额：</w:t>
      </w:r>
      <w:r>
        <w:rPr/>
        <w:t>705,000.00</w:t>
      </w:r>
      <w:r>
        <w:rPr/>
        <w:t>元</w:t>
      </w:r>
    </w:p>
    <w:p>
      <w:r>
        <w:rPr>
          <w:b/>
          <w:sz w:val="24"/>
        </w:rPr>
        <w:t>2.项目内容及需求情况（采购项目技术规格、参数及要求）</w:t>
      </w:r>
    </w:p>
    <w:p>
      <w:pPr>
        <w:ind w:firstLine="480"/>
      </w:pPr>
    </w:p>
    <w:p/>
    <w:p>
      <w:r>
        <w:rPr/>
        <w:t>采购包1(荧光量子效率测量系统):</w:t>
      </w:r>
    </w:p>
    <w:p>
      <w:r>
        <w:rPr/>
        <w:t>采购包预算金额：265,000.00元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其他仪器仪表</w:t>
            </w:r>
          </w:p>
        </w:tc>
        <w:tc>
          <w:tcPr>
            <w:tcW w:type="dxa" w:w="2052"/>
          </w:tcPr>
          <w:p>
            <w:r>
              <w:rPr/>
              <w:t>荧光量子效率测量系统</w:t>
            </w:r>
          </w:p>
        </w:tc>
        <w:tc>
          <w:tcPr>
            <w:tcW w:type="dxa" w:w="977"/>
          </w:tcPr>
          <w:p>
            <w:r>
              <w:rPr/>
              <w:t>1.00(套)</w:t>
            </w:r>
          </w:p>
        </w:tc>
        <w:tc>
          <w:tcPr>
            <w:tcW w:type="dxa" w:w="977"/>
          </w:tcPr>
          <w:p>
            <w:r>
              <w:rPr/>
              <w:t>详见第二章</w:t>
            </w:r>
          </w:p>
        </w:tc>
        <w:tc>
          <w:tcPr>
            <w:tcW w:type="dxa" w:w="977"/>
          </w:tcPr>
          <w:p>
            <w:r>
              <w:rPr/>
              <w:t>265,000.00</w:t>
            </w:r>
          </w:p>
        </w:tc>
        <w:tc>
          <w:tcPr>
            <w:tcW w:type="dxa" w:w="977"/>
          </w:tcPr>
          <w:p>
            <w:r>
              <w:rPr/>
              <w:t>否</w:t>
            </w:r>
          </w:p>
        </w:tc>
      </w:tr>
    </w:tbl>
    <w:p/>
    <w:p>
      <w:r>
        <w:rPr/>
        <w:t>本采购包不接受联合体投标</w:t>
      </w:r>
    </w:p>
    <w:p/>
    <w:p>
      <w:r>
        <w:rPr/>
        <w:t>合同履行期限：合同生效60天内中标人完成货物安装调试并交付使用。</w:t>
      </w:r>
    </w:p>
    <w:p/>
    <w:p>
      <w:r>
        <w:rPr/>
        <w:t>采购包2(高温材料合成炉):</w:t>
      </w:r>
    </w:p>
    <w:p>
      <w:r>
        <w:rPr/>
        <w:t>采购包预算金额：210,000.00元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其他仪器仪表</w:t>
            </w:r>
          </w:p>
        </w:tc>
        <w:tc>
          <w:tcPr>
            <w:tcW w:type="dxa" w:w="2052"/>
          </w:tcPr>
          <w:p>
            <w:r>
              <w:rPr/>
              <w:t>高温材料合成炉</w:t>
            </w:r>
          </w:p>
        </w:tc>
        <w:tc>
          <w:tcPr>
            <w:tcW w:type="dxa" w:w="977"/>
          </w:tcPr>
          <w:p>
            <w:r>
              <w:rPr/>
              <w:t>1.00(台)</w:t>
            </w:r>
          </w:p>
        </w:tc>
        <w:tc>
          <w:tcPr>
            <w:tcW w:type="dxa" w:w="977"/>
          </w:tcPr>
          <w:p>
            <w:r>
              <w:rPr/>
              <w:t>详见第二章</w:t>
            </w:r>
          </w:p>
        </w:tc>
        <w:tc>
          <w:tcPr>
            <w:tcW w:type="dxa" w:w="977"/>
          </w:tcPr>
          <w:p>
            <w:r>
              <w:rPr/>
              <w:t>210,000.00</w:t>
            </w:r>
          </w:p>
        </w:tc>
        <w:tc>
          <w:tcPr>
            <w:tcW w:type="dxa" w:w="977"/>
          </w:tcPr>
          <w:p>
            <w:r>
              <w:rPr/>
              <w:t>否</w:t>
            </w:r>
          </w:p>
        </w:tc>
      </w:tr>
    </w:tbl>
    <w:p/>
    <w:p>
      <w:r>
        <w:rPr/>
        <w:t>本采购包不接受联合体投标</w:t>
      </w:r>
    </w:p>
    <w:p/>
    <w:p>
      <w:r>
        <w:rPr/>
        <w:t>合同履行期限：合同生效60天内中标人完成货物安装调试并交付使用。</w:t>
      </w:r>
    </w:p>
    <w:p/>
    <w:p>
      <w:r>
        <w:rPr/>
        <w:t>采购包3(引线键合机):</w:t>
      </w:r>
    </w:p>
    <w:p>
      <w:r>
        <w:rPr/>
        <w:t>采购包预算金额：230,000.00元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3-1</w:t>
            </w:r>
          </w:p>
        </w:tc>
        <w:tc>
          <w:tcPr>
            <w:tcW w:type="dxa" w:w="1368"/>
          </w:tcPr>
          <w:p>
            <w:r>
              <w:rPr/>
              <w:t>其他仪器仪表</w:t>
            </w:r>
          </w:p>
        </w:tc>
        <w:tc>
          <w:tcPr>
            <w:tcW w:type="dxa" w:w="2052"/>
          </w:tcPr>
          <w:p>
            <w:r>
              <w:rPr/>
              <w:t>引线键合机</w:t>
            </w:r>
          </w:p>
        </w:tc>
        <w:tc>
          <w:tcPr>
            <w:tcW w:type="dxa" w:w="977"/>
          </w:tcPr>
          <w:p>
            <w:r>
              <w:rPr/>
              <w:t>1.00(台)</w:t>
            </w:r>
          </w:p>
        </w:tc>
        <w:tc>
          <w:tcPr>
            <w:tcW w:type="dxa" w:w="977"/>
          </w:tcPr>
          <w:p>
            <w:r>
              <w:rPr/>
              <w:t>详见第二章</w:t>
            </w:r>
          </w:p>
        </w:tc>
        <w:tc>
          <w:tcPr>
            <w:tcW w:type="dxa" w:w="977"/>
          </w:tcPr>
          <w:p>
            <w:r>
              <w:rPr/>
              <w:t>230,000.00</w:t>
            </w:r>
          </w:p>
        </w:tc>
        <w:tc>
          <w:tcPr>
            <w:tcW w:type="dxa" w:w="977"/>
          </w:tcPr>
          <w:p>
            <w:r>
              <w:rPr/>
              <w:t>否</w:t>
            </w:r>
          </w:p>
        </w:tc>
      </w:tr>
    </w:tbl>
    <w:p/>
    <w:p>
      <w:r>
        <w:rPr/>
        <w:t>本采购包不接受联合体投标</w:t>
      </w:r>
    </w:p>
    <w:p/>
    <w:p>
      <w:r>
        <w:rPr/>
        <w:t>合同履行期限：合同生效60天内中标人完成货物安装调试并交付使用。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3）具有良好的商业信誉和健全的财务会计制度：提供2022年财务状况报告或基本开户行出具的资信证明。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采购包1（荧光量子效率测量系统）：</w:t>
      </w:r>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 2）采购包整体专门面向中小企业，货物全部由符合政策要求的中小企业制造，该中小企业须符合本项目采购标的对应行业（本项目行业为：工业）的政策划分标准（监狱企业、残疾人福利性单位视同小微企业）。中小企业以供应商填写的《中小企业声明函》（见投标文件格式）为判定标准；残疾人福利性单位以供应商提供的《残疾人福利性单位声明函》（见投标文件格式）为判定标准；监狱企业须提供由省级以上监狱管理局、戒毒管理局（含新疆生产建设兵团）出具的属于监狱企业的证明文件，否则不予认定。</w:t>
      </w:r>
    </w:p>
    <w:p>
      <w:pPr>
        <w:jc w:val="left"/>
      </w:pPr>
    </w:p>
    <w:p>
      <w:r>
        <w:rPr/>
        <w:t>采购包2（高温材料合成炉）：</w:t>
      </w:r>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 2）采购包整体专门面向中小企业，货物全部由符合政策要求的中小企业制造，该中小企业须符合本项目采购标的对应行业（本项目行业为：工业）的政策划分标准（监狱企业、残疾人福利性单位视同小微企业）。中小企业以供应商填写的《中小企业声明函》（见投标文件格式）为判定标准；残疾人福利性单位以供应商提供的《残疾人福利性单位声明函》（见投标文件格式）为判定标准；监狱企业须提供由省级以上监狱管理局、戒毒管理局（含新疆生产建设兵团）出具的属于监狱企业的证明文件，否则不予认定。</w:t>
      </w:r>
    </w:p>
    <w:p>
      <w:pPr>
        <w:jc w:val="left"/>
      </w:pPr>
    </w:p>
    <w:p>
      <w:r>
        <w:rPr/>
        <w:t>采购包3（引线键合机）：</w:t>
      </w:r>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 2）采购包整体专门面向中小企业，货物全部由符合政策要求的中小企业制造，该中小企业须符合本项目采购标的对应行业（本项目行业为：工业）的政策划分标准（监狱企业、残疾人福利性单位视同小微企业）。中小企业以供应商填写的《中小企业声明函》（见投标文件格式）为判定标准；残疾人福利性单位以供应商提供的《残疾人福利性单位声明函》（见投标文件格式）为判定标准；监狱企业须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采购包1（荧光量子效率测量系统）：</w:t>
      </w:r>
    </w:p>
    <w:p/>
    <w:p>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3)本项目不接受联合体投标。</w:t>
      </w:r>
    </w:p>
    <w:p/>
    <w:p>
      <w:r>
        <w:rPr/>
        <w:t>4)已在云平台系统参与本项目并获取招标文件。</w:t>
      </w:r>
    </w:p>
    <w:p/>
    <w:p>
      <w:r>
        <w:rPr/>
        <w:t>采购包2（高温材料合成炉）：</w:t>
      </w:r>
    </w:p>
    <w:p/>
    <w:p>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3)本项目不接受联合体投标。</w:t>
      </w:r>
    </w:p>
    <w:p/>
    <w:p>
      <w:r>
        <w:rPr/>
        <w:t>4)已在云平台系统参与本项目并获取招标文件。</w:t>
      </w:r>
    </w:p>
    <w:p/>
    <w:p>
      <w:r>
        <w:rPr/>
        <w:t>采购包3（引线键合机）：</w:t>
      </w:r>
    </w:p>
    <w:p/>
    <w:p>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3)本项目不接受联合体投标。</w:t>
      </w:r>
    </w:p>
    <w:p/>
    <w:p>
      <w:r>
        <w:rPr/>
        <w:t>4)已在云平台系统参与本项目并获取招标文件。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广东国和采购咨询有限公司（www.zgguohe.com）。</w:t>
      </w:r>
    </w:p>
    <w:p>
      <w:r>
        <w:rPr>
          <w:b/>
          <w:sz w:val="28"/>
        </w:rPr>
        <w:t>六.本项目联系方式：</w:t>
      </w:r>
    </w:p>
    <w:p>
      <w:r>
        <w:rPr>
          <w:b/>
          <w:sz w:val="24"/>
        </w:rPr>
        <w:t>1.采购人信息</w:t>
      </w:r>
    </w:p>
    <w:p>
      <w:pPr>
        <w:ind w:firstLine="480"/>
      </w:pPr>
      <w:r>
        <w:rPr/>
        <w:t>名称：</w:t>
      </w:r>
      <w:r>
        <w:rPr/>
        <w:t>广东工业大学</w:t>
      </w:r>
    </w:p>
    <w:p>
      <w:pPr>
        <w:ind w:firstLine="480"/>
      </w:pPr>
      <w:r>
        <w:rPr/>
        <w:t>地址：</w:t>
      </w:r>
      <w:r>
        <w:rPr/>
        <w:t>广州市广州大学城外环西路100号</w:t>
      </w:r>
    </w:p>
    <w:p>
      <w:pPr>
        <w:ind w:firstLine="480"/>
      </w:pPr>
      <w:r>
        <w:rPr/>
        <w:t>联系方式：</w:t>
      </w:r>
      <w:r>
        <w:rPr/>
        <w:t>020-39340032</w:t>
      </w:r>
    </w:p>
    <w:p>
      <w:r>
        <w:rPr>
          <w:b/>
          <w:sz w:val="24"/>
        </w:rPr>
        <w:t>2.采购代理机构信息</w:t>
      </w:r>
    </w:p>
    <w:p>
      <w:pPr>
        <w:ind w:firstLine="480"/>
      </w:pPr>
      <w:r>
        <w:rPr/>
        <w:t>名称：</w:t>
      </w:r>
      <w:r>
        <w:rPr/>
        <w:t>广东国和采购咨询有限公司</w:t>
      </w:r>
    </w:p>
    <w:p>
      <w:pPr>
        <w:ind w:firstLine="480"/>
      </w:pPr>
      <w:r>
        <w:rPr/>
        <w:t>地址：</w:t>
      </w:r>
      <w:r>
        <w:rPr/>
        <w:t>广州市越秀区先烈中路102号华盛大厦北塔18楼</w:t>
      </w:r>
    </w:p>
    <w:p>
      <w:pPr>
        <w:ind w:firstLine="480"/>
      </w:pPr>
      <w:r>
        <w:rPr/>
        <w:t>联系方式：</w:t>
      </w:r>
      <w:r>
        <w:rPr/>
        <w:t>020-37625911</w:t>
      </w:r>
    </w:p>
    <w:p>
      <w:r>
        <w:rPr>
          <w:b/>
          <w:sz w:val="24"/>
        </w:rPr>
        <w:t>3.项目联系方式</w:t>
      </w:r>
    </w:p>
    <w:p>
      <w:pPr>
        <w:ind w:firstLine="480"/>
      </w:pPr>
      <w:r>
        <w:rPr/>
        <w:t>项目联系人：</w:t>
      </w:r>
      <w:r>
        <w:rPr/>
        <w:t>黄小姐、李小姐</w:t>
      </w:r>
    </w:p>
    <w:p>
      <w:pPr>
        <w:ind w:firstLine="480"/>
      </w:pPr>
      <w:r>
        <w:rPr/>
        <w:t>电话：</w:t>
      </w:r>
      <w:r>
        <w:rPr/>
        <w:t>020-37625911</w:t>
      </w:r>
    </w:p>
    <w:p>
      <w:r>
        <w:rPr>
          <w:b/>
          <w:sz w:val="24"/>
        </w:rPr>
        <w:t>4.技术支持联系方式</w:t>
      </w:r>
    </w:p>
    <w:p>
      <w:pPr>
        <w:ind w:firstLine="480"/>
      </w:pPr>
      <w:r>
        <w:rPr/>
        <w:t>云平台联系方式：020-88696588</w:t>
      </w:r>
    </w:p>
    <w:p>
      <w:r>
        <w:rPr/>
        <w:t>采购代理机构：</w:t>
      </w:r>
      <w:r>
        <w:rPr/>
        <w:t>广东国和采购咨询有限公司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00"/>
      </w:pPr>
      <w:r>
        <w:rPr>
          <w:sz w:val="24"/>
        </w:rPr>
        <w:t>1．</w:t>
      </w:r>
      <w:r>
        <w:rPr>
          <w:sz w:val="24"/>
        </w:rPr>
        <w:t>本项目总预算为人民币</w:t>
      </w:r>
      <w:r>
        <w:rPr>
          <w:sz w:val="24"/>
        </w:rPr>
        <w:t>705,000.00元，</w:t>
      </w:r>
      <w:r>
        <w:rPr>
          <w:b/>
          <w:sz w:val="24"/>
        </w:rPr>
        <w:t>各包组投标总价不得超出包组预算金额，且各项设备投标价不得超出各项设备单价最高限价，否则视为无效投标。</w:t>
      </w:r>
    </w:p>
    <w:p>
      <w:pPr>
        <w:ind w:firstLine="400"/>
      </w:pPr>
      <w:r>
        <w:rPr>
          <w:sz w:val="24"/>
        </w:rPr>
        <w:t>2．</w:t>
      </w:r>
      <w:r>
        <w:rPr>
          <w:sz w:val="24"/>
        </w:rPr>
        <w:t>本项目投标报价应为含税人民币报价，报价包括设备费、技术设计费、卸货运输费、安装调试费、人员培训费、售后服务等费用及税费。</w:t>
      </w:r>
    </w:p>
    <w:p>
      <w:pPr>
        <w:ind w:firstLine="400"/>
      </w:pPr>
      <w:r>
        <w:rPr>
          <w:sz w:val="24"/>
        </w:rPr>
        <w:t>3．</w:t>
      </w:r>
      <w:r>
        <w:rPr>
          <w:sz w:val="24"/>
        </w:rPr>
        <w:t>投标人所投设备及材料应是原厂原装、全新的产品，并符合下列要求：国家标准、行业标准以及该产品的出厂标准。</w:t>
      </w:r>
    </w:p>
    <w:p>
      <w:pPr>
        <w:ind w:firstLine="400"/>
      </w:pPr>
      <w:r>
        <w:rPr>
          <w:sz w:val="24"/>
        </w:rPr>
        <w:t>4．</w:t>
      </w:r>
      <w:r>
        <w:rPr>
          <w:sz w:val="24"/>
        </w:rPr>
        <w:t>仪器设备如需特殊工作条件（如：水、电源、磁场强度、特殊温度、湿度、振动强度等），应在相关文件中加以说明，并提供安装场地要求。</w:t>
      </w:r>
    </w:p>
    <w:p>
      <w:pPr>
        <w:ind w:firstLine="400"/>
      </w:pPr>
      <w:r>
        <w:rPr>
          <w:sz w:val="24"/>
        </w:rPr>
        <w:t>5．</w:t>
      </w:r>
      <w:r>
        <w:rPr>
          <w:sz w:val="24"/>
        </w:rPr>
        <w:t>技术资料：提供仪器设备的安装手册、操作手册、工作软件说明书、维修保养手册等技术文件及产品合格证、质量保证书和产品软件等全套资料。</w:t>
      </w:r>
    </w:p>
    <w:p>
      <w:pPr>
        <w:ind w:firstLine="400"/>
      </w:pPr>
      <w:r>
        <w:rPr>
          <w:sz w:val="24"/>
        </w:rPr>
        <w:t>6．</w:t>
      </w:r>
      <w:r>
        <w:rPr>
          <w:sz w:val="24"/>
        </w:rPr>
        <w:t>投标报价清单必须与采购货物清单一致。</w:t>
      </w:r>
    </w:p>
    <w:p>
      <w:pPr>
        <w:ind w:firstLine="400"/>
      </w:pPr>
      <w:r>
        <w:rPr>
          <w:sz w:val="24"/>
        </w:rPr>
        <w:t>7．</w:t>
      </w:r>
      <w:r>
        <w:rPr>
          <w:sz w:val="24"/>
        </w:rPr>
        <w:t>凡标有</w:t>
      </w:r>
      <w:r>
        <w:rPr>
          <w:sz w:val="24"/>
        </w:rPr>
        <w:t>“★”的地方为关键的商务、技术指标要求，必须完全满足这些要求，未达到这些指标要求的将导致投标无效。标有“▲”号的为比较重要的商务、技术指标，未达到这些指标要求的将被严重扣分，但不会导致废标。</w:t>
      </w:r>
    </w:p>
    <w:p>
      <w:pPr>
        <w:ind w:firstLine="400"/>
      </w:pPr>
      <w:r>
        <w:rPr>
          <w:sz w:val="24"/>
        </w:rPr>
        <w:t>8．</w:t>
      </w:r>
      <w:r>
        <w:rPr>
          <w:sz w:val="24"/>
        </w:rPr>
        <w:t>如评标委员会认为投标人的报价明显低于其他通过符合性审查投标人的报价，有可能影响产品质量或者不能诚信履约的，可要求投标人提供书面说明（报价成本分析报告），投标人需在接到评标委员会通知后一小时内提供详细的报价成本分析报告（包含各项进货成本、开发设计成本明细、项目实施成本、安装成本、税费、利润等的详细说明）及相关佐证材料。如未能及时提供报价成本分析报告或评审委员会认为其报价成本分析报告不合理的，评标委员会将对其作为无效投标处理。</w:t>
      </w:r>
    </w:p>
    <w:p>
      <w:pPr>
        <w:ind w:firstLine="400"/>
      </w:pPr>
    </w:p>
    <w:p>
      <w:r>
        <w:rPr>
          <w:b/>
          <w:sz w:val="24"/>
        </w:rPr>
        <w:t>二、</w:t>
      </w:r>
      <w:r>
        <w:rPr>
          <w:b/>
          <w:sz w:val="24"/>
        </w:rPr>
        <w:t>采购项目清单</w:t>
      </w:r>
    </w:p>
    <w:p>
      <w:pPr>
        <w:ind w:firstLine="482"/>
      </w:pPr>
      <w:r>
        <w:rPr>
          <w:b/>
          <w:sz w:val="24"/>
        </w:rPr>
        <w:t>采购包</w:t>
      </w:r>
      <w:r>
        <w:rPr>
          <w:b/>
          <w:sz w:val="24"/>
        </w:rPr>
        <w:t>1</w:t>
      </w:r>
      <w:r>
        <w:rPr>
          <w:b/>
          <w:sz w:val="24"/>
        </w:rPr>
        <w:t>(荧光量子效率测量系统)：</w:t>
      </w:r>
      <w:r>
        <w:rPr>
          <w:sz w:val="19"/>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92"/>
        <w:gridCol w:w="2433"/>
        <w:gridCol w:w="665"/>
        <w:gridCol w:w="905"/>
        <w:gridCol w:w="1004"/>
        <w:gridCol w:w="905"/>
        <w:gridCol w:w="778"/>
        <w:gridCol w:w="792"/>
      </w:tblGrid>
      <w:tr>
        <w:tc>
          <w:tcPr>
            <w:tcW w:type="dxa" w:w="792"/>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2433"/>
            <w:tcBorders>
              <w:top w:val="single" w:color="000000" w:sz="4"/>
              <w:left w:val="none" w:color="000000" w:sz="4"/>
              <w:bottom w:val="single" w:color="000000" w:sz="4"/>
              <w:right w:val="single" w:color="000000" w:sz="4"/>
            </w:tcBorders>
            <w:vAlign w:val="top"/>
          </w:tcPr>
          <w:p>
            <w:pPr>
              <w:jc w:val="center"/>
            </w:pPr>
            <w:r>
              <w:rPr>
                <w:b/>
                <w:sz w:val="24"/>
              </w:rPr>
              <w:t>设备名称</w:t>
            </w:r>
          </w:p>
        </w:tc>
        <w:tc>
          <w:tcPr>
            <w:tcW w:type="dxa" w:w="665"/>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905"/>
            <w:tcBorders>
              <w:top w:val="single" w:color="000000" w:sz="4"/>
              <w:left w:val="none" w:color="000000" w:sz="4"/>
              <w:bottom w:val="single" w:color="000000" w:sz="4"/>
              <w:right w:val="single" w:color="000000" w:sz="4"/>
            </w:tcBorders>
            <w:vAlign w:val="top"/>
          </w:tcPr>
          <w:p>
            <w:pPr>
              <w:jc w:val="center"/>
            </w:pPr>
            <w:r>
              <w:rPr>
                <w:b/>
                <w:sz w:val="24"/>
              </w:rPr>
              <w:t>计量</w:t>
            </w:r>
          </w:p>
          <w:p>
            <w:pPr>
              <w:jc w:val="center"/>
            </w:pPr>
            <w:r>
              <w:rPr>
                <w:b/>
                <w:sz w:val="24"/>
              </w:rPr>
              <w:t>单位</w:t>
            </w:r>
          </w:p>
        </w:tc>
        <w:tc>
          <w:tcPr>
            <w:tcW w:type="dxa" w:w="1004"/>
            <w:tcBorders>
              <w:top w:val="single" w:color="000000" w:sz="4"/>
              <w:left w:val="none" w:color="000000" w:sz="4"/>
              <w:bottom w:val="single" w:color="000000" w:sz="4"/>
              <w:right w:val="single" w:color="000000" w:sz="4"/>
            </w:tcBorders>
            <w:vAlign w:val="top"/>
          </w:tcPr>
          <w:p>
            <w:pPr>
              <w:jc w:val="center"/>
            </w:pPr>
            <w:r>
              <w:rPr>
                <w:b/>
                <w:sz w:val="24"/>
              </w:rPr>
              <w:t>单价</w:t>
            </w:r>
            <w:r>
              <w:rPr>
                <w:b/>
                <w:sz w:val="24"/>
              </w:rPr>
              <w:t>最高限价</w:t>
            </w:r>
            <w:r>
              <w:rPr>
                <w:b/>
                <w:sz w:val="24"/>
              </w:rPr>
              <w:t>（万元）</w:t>
            </w:r>
          </w:p>
        </w:tc>
        <w:tc>
          <w:tcPr>
            <w:tcW w:type="dxa" w:w="905"/>
            <w:tcBorders>
              <w:top w:val="single" w:color="000000" w:sz="4"/>
              <w:left w:val="none" w:color="000000" w:sz="4"/>
              <w:bottom w:val="single" w:color="000000" w:sz="4"/>
              <w:right w:val="single" w:color="000000" w:sz="4"/>
            </w:tcBorders>
            <w:vAlign w:val="top"/>
          </w:tcPr>
          <w:p>
            <w:pPr>
              <w:jc w:val="center"/>
            </w:pPr>
            <w:r>
              <w:rPr>
                <w:b/>
                <w:sz w:val="24"/>
              </w:rPr>
              <w:t>保修期（年）</w:t>
            </w:r>
          </w:p>
        </w:tc>
        <w:tc>
          <w:tcPr>
            <w:tcW w:type="dxa" w:w="778"/>
            <w:tcBorders>
              <w:top w:val="single" w:color="000000" w:sz="4"/>
              <w:left w:val="none" w:color="000000" w:sz="4"/>
              <w:bottom w:val="single" w:color="000000" w:sz="4"/>
              <w:right w:val="single" w:color="000000" w:sz="4"/>
            </w:tcBorders>
            <w:vAlign w:val="top"/>
          </w:tcPr>
          <w:p>
            <w:pPr>
              <w:jc w:val="center"/>
            </w:pPr>
            <w:r>
              <w:rPr>
                <w:b/>
                <w:sz w:val="24"/>
              </w:rPr>
              <w:t>国产</w:t>
            </w:r>
            <w:r>
              <w:rPr>
                <w:b/>
                <w:sz w:val="24"/>
              </w:rPr>
              <w:t>/进口</w:t>
            </w:r>
          </w:p>
        </w:tc>
        <w:tc>
          <w:tcPr>
            <w:tcW w:type="dxa" w:w="792"/>
            <w:tcBorders>
              <w:top w:val="single" w:color="000000" w:sz="4"/>
              <w:left w:val="none" w:color="000000" w:sz="4"/>
              <w:bottom w:val="single" w:color="000000" w:sz="4"/>
              <w:right w:val="single" w:color="000000" w:sz="4"/>
            </w:tcBorders>
            <w:vAlign w:val="top"/>
          </w:tcPr>
          <w:p>
            <w:pPr>
              <w:jc w:val="center"/>
            </w:pPr>
            <w:r>
              <w:rPr>
                <w:b/>
                <w:sz w:val="24"/>
              </w:rPr>
              <w:t>含税</w:t>
            </w:r>
            <w:r>
              <w:rPr>
                <w:b/>
                <w:sz w:val="24"/>
              </w:rPr>
              <w:t>/免税</w:t>
            </w:r>
          </w:p>
        </w:tc>
      </w:tr>
      <w:tr>
        <w:tc>
          <w:tcPr>
            <w:tcW w:type="dxa" w:w="792"/>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433"/>
            <w:tcBorders>
              <w:top w:val="none" w:color="000000" w:sz="4"/>
              <w:left w:val="none" w:color="000000" w:sz="4"/>
              <w:bottom w:val="single" w:color="000000" w:sz="4"/>
              <w:right w:val="single" w:color="000000" w:sz="4"/>
            </w:tcBorders>
            <w:vAlign w:val="top"/>
          </w:tcPr>
          <w:p>
            <w:pPr>
              <w:jc w:val="center"/>
            </w:pPr>
            <w:r>
              <w:rPr>
                <w:sz w:val="24"/>
              </w:rPr>
              <w:t>荧光量子效率测量系统</w:t>
            </w:r>
          </w:p>
        </w:tc>
        <w:tc>
          <w:tcPr>
            <w:tcW w:type="dxa" w:w="665"/>
            <w:tcBorders>
              <w:top w:val="none" w:color="000000" w:sz="4"/>
              <w:left w:val="none" w:color="000000" w:sz="4"/>
              <w:bottom w:val="single" w:color="000000" w:sz="4"/>
              <w:right w:val="single" w:color="000000" w:sz="4"/>
            </w:tcBorders>
            <w:vAlign w:val="top"/>
          </w:tcPr>
          <w:p>
            <w:pPr>
              <w:jc w:val="center"/>
            </w:pPr>
            <w:r>
              <w:rPr>
                <w:sz w:val="24"/>
              </w:rPr>
              <w:t>1</w:t>
            </w:r>
          </w:p>
        </w:tc>
        <w:tc>
          <w:tcPr>
            <w:tcW w:type="dxa" w:w="905"/>
            <w:tcBorders>
              <w:top w:val="none" w:color="000000" w:sz="4"/>
              <w:left w:val="none" w:color="000000" w:sz="4"/>
              <w:bottom w:val="single" w:color="000000" w:sz="4"/>
              <w:right w:val="single" w:color="000000" w:sz="4"/>
            </w:tcBorders>
            <w:vAlign w:val="top"/>
          </w:tcPr>
          <w:p>
            <w:pPr>
              <w:jc w:val="center"/>
            </w:pPr>
            <w:r>
              <w:rPr>
                <w:sz w:val="24"/>
              </w:rPr>
              <w:t>套</w:t>
            </w:r>
          </w:p>
        </w:tc>
        <w:tc>
          <w:tcPr>
            <w:tcW w:type="dxa" w:w="1004"/>
            <w:tcBorders>
              <w:top w:val="none" w:color="000000" w:sz="4"/>
              <w:left w:val="none" w:color="000000" w:sz="4"/>
              <w:bottom w:val="single" w:color="000000" w:sz="4"/>
              <w:right w:val="single" w:color="000000" w:sz="4"/>
            </w:tcBorders>
            <w:vAlign w:val="top"/>
          </w:tcPr>
          <w:p>
            <w:pPr>
              <w:jc w:val="center"/>
            </w:pPr>
            <w:r>
              <w:rPr>
                <w:sz w:val="24"/>
              </w:rPr>
              <w:t>26.5</w:t>
            </w:r>
          </w:p>
        </w:tc>
        <w:tc>
          <w:tcPr>
            <w:tcW w:type="dxa" w:w="905"/>
            <w:tcBorders>
              <w:top w:val="none" w:color="000000" w:sz="4"/>
              <w:left w:val="none" w:color="000000" w:sz="4"/>
              <w:bottom w:val="single" w:color="000000" w:sz="4"/>
              <w:right w:val="single" w:color="000000" w:sz="4"/>
            </w:tcBorders>
            <w:vAlign w:val="top"/>
          </w:tcPr>
          <w:p>
            <w:pPr>
              <w:jc w:val="center"/>
            </w:pPr>
            <w:r>
              <w:rPr>
                <w:sz w:val="24"/>
              </w:rPr>
              <w:t>1</w:t>
            </w:r>
          </w:p>
        </w:tc>
        <w:tc>
          <w:tcPr>
            <w:tcW w:type="dxa" w:w="778"/>
            <w:tcBorders>
              <w:top w:val="none" w:color="000000" w:sz="4"/>
              <w:left w:val="none" w:color="000000" w:sz="4"/>
              <w:bottom w:val="single" w:color="000000" w:sz="4"/>
              <w:right w:val="single" w:color="000000" w:sz="4"/>
            </w:tcBorders>
            <w:vAlign w:val="top"/>
          </w:tcPr>
          <w:p>
            <w:pPr>
              <w:jc w:val="center"/>
            </w:pPr>
            <w:r>
              <w:rPr>
                <w:sz w:val="24"/>
              </w:rPr>
              <w:t>国产</w:t>
            </w:r>
          </w:p>
        </w:tc>
        <w:tc>
          <w:tcPr>
            <w:tcW w:type="dxa" w:w="792"/>
            <w:tcBorders>
              <w:top w:val="none" w:color="000000" w:sz="4"/>
              <w:left w:val="none" w:color="000000" w:sz="4"/>
              <w:bottom w:val="single" w:color="000000" w:sz="4"/>
              <w:right w:val="single" w:color="000000" w:sz="4"/>
            </w:tcBorders>
            <w:vAlign w:val="top"/>
          </w:tcPr>
          <w:p>
            <w:pPr>
              <w:jc w:val="center"/>
            </w:pPr>
            <w:r>
              <w:rPr>
                <w:sz w:val="24"/>
              </w:rPr>
              <w:t>含税</w:t>
            </w:r>
          </w:p>
        </w:tc>
      </w:tr>
    </w:tbl>
    <w:p>
      <w:pPr>
        <w:ind w:firstLine="482"/>
      </w:pPr>
      <w:r>
        <w:rPr>
          <w:b/>
          <w:sz w:val="24"/>
        </w:rPr>
        <w:t>采购包</w:t>
      </w:r>
      <w:r>
        <w:rPr>
          <w:b/>
          <w:sz w:val="24"/>
        </w:rPr>
        <w:t>2</w:t>
      </w:r>
      <w:r>
        <w:rPr>
          <w:b/>
          <w:sz w:val="24"/>
        </w:rPr>
        <w:t>(高温材料合成炉)：</w:t>
      </w:r>
      <w:r>
        <w:rPr>
          <w:sz w:val="19"/>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65"/>
        <w:gridCol w:w="2472"/>
        <w:gridCol w:w="710"/>
        <w:gridCol w:w="724"/>
        <w:gridCol w:w="983"/>
        <w:gridCol w:w="846"/>
        <w:gridCol w:w="724"/>
        <w:gridCol w:w="737"/>
      </w:tblGrid>
      <w:tr>
        <w:tc>
          <w:tcPr>
            <w:tcW w:type="dxa" w:w="1065"/>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2472"/>
            <w:tcBorders>
              <w:top w:val="single" w:color="000000" w:sz="4"/>
              <w:left w:val="none" w:color="000000" w:sz="4"/>
              <w:bottom w:val="single" w:color="000000" w:sz="4"/>
              <w:right w:val="single" w:color="000000" w:sz="4"/>
            </w:tcBorders>
            <w:vAlign w:val="top"/>
          </w:tcPr>
          <w:p>
            <w:pPr>
              <w:jc w:val="center"/>
            </w:pPr>
            <w:r>
              <w:rPr>
                <w:b/>
                <w:sz w:val="24"/>
              </w:rPr>
              <w:t>设备名称</w:t>
            </w:r>
          </w:p>
        </w:tc>
        <w:tc>
          <w:tcPr>
            <w:tcW w:type="dxa" w:w="710"/>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724"/>
            <w:tcBorders>
              <w:top w:val="single" w:color="000000" w:sz="4"/>
              <w:left w:val="none" w:color="000000" w:sz="4"/>
              <w:bottom w:val="single" w:color="000000" w:sz="4"/>
              <w:right w:val="single" w:color="000000" w:sz="4"/>
            </w:tcBorders>
            <w:vAlign w:val="top"/>
          </w:tcPr>
          <w:p>
            <w:pPr>
              <w:jc w:val="center"/>
            </w:pPr>
            <w:r>
              <w:rPr>
                <w:b/>
                <w:sz w:val="24"/>
              </w:rPr>
              <w:t>计量</w:t>
            </w:r>
          </w:p>
          <w:p>
            <w:pPr>
              <w:jc w:val="center"/>
            </w:pPr>
            <w:r>
              <w:rPr>
                <w:b/>
                <w:sz w:val="24"/>
              </w:rPr>
              <w:t>单位</w:t>
            </w:r>
          </w:p>
        </w:tc>
        <w:tc>
          <w:tcPr>
            <w:tcW w:type="dxa" w:w="983"/>
            <w:tcBorders>
              <w:top w:val="single" w:color="000000" w:sz="4"/>
              <w:left w:val="none" w:color="000000" w:sz="4"/>
              <w:bottom w:val="single" w:color="000000" w:sz="4"/>
              <w:right w:val="single" w:color="000000" w:sz="4"/>
            </w:tcBorders>
            <w:vAlign w:val="top"/>
          </w:tcPr>
          <w:p>
            <w:pPr>
              <w:jc w:val="center"/>
            </w:pPr>
            <w:r>
              <w:rPr>
                <w:b/>
                <w:sz w:val="24"/>
              </w:rPr>
              <w:t>单价</w:t>
            </w:r>
            <w:r>
              <w:rPr>
                <w:b/>
                <w:sz w:val="24"/>
              </w:rPr>
              <w:t>最高限价</w:t>
            </w:r>
            <w:r>
              <w:rPr>
                <w:b/>
                <w:sz w:val="24"/>
              </w:rPr>
              <w:t>（万元）</w:t>
            </w:r>
          </w:p>
        </w:tc>
        <w:tc>
          <w:tcPr>
            <w:tcW w:type="dxa" w:w="846"/>
            <w:tcBorders>
              <w:top w:val="single" w:color="000000" w:sz="4"/>
              <w:left w:val="single" w:color="000000" w:sz="4"/>
              <w:bottom w:val="single" w:color="000000" w:sz="4"/>
              <w:right w:val="single" w:color="000000" w:sz="4"/>
            </w:tcBorders>
            <w:vAlign w:val="top"/>
          </w:tcPr>
          <w:p>
            <w:pPr>
              <w:jc w:val="center"/>
            </w:pPr>
            <w:r>
              <w:rPr>
                <w:b/>
                <w:sz w:val="24"/>
              </w:rPr>
              <w:t>保修期（年）</w:t>
            </w:r>
          </w:p>
        </w:tc>
        <w:tc>
          <w:tcPr>
            <w:tcW w:type="dxa" w:w="724"/>
            <w:tcBorders>
              <w:top w:val="single" w:color="000000" w:sz="4"/>
              <w:left w:val="none" w:color="000000" w:sz="4"/>
              <w:bottom w:val="single" w:color="000000" w:sz="4"/>
              <w:right w:val="single" w:color="000000" w:sz="4"/>
            </w:tcBorders>
            <w:vAlign w:val="top"/>
          </w:tcPr>
          <w:p>
            <w:pPr>
              <w:jc w:val="center"/>
            </w:pPr>
            <w:r>
              <w:rPr>
                <w:b/>
                <w:sz w:val="24"/>
              </w:rPr>
              <w:t>国产</w:t>
            </w:r>
            <w:r>
              <w:rPr>
                <w:b/>
                <w:sz w:val="24"/>
              </w:rPr>
              <w:t>/进口</w:t>
            </w:r>
          </w:p>
        </w:tc>
        <w:tc>
          <w:tcPr>
            <w:tcW w:type="dxa" w:w="737"/>
            <w:tcBorders>
              <w:top w:val="single" w:color="000000" w:sz="4"/>
              <w:left w:val="none" w:color="000000" w:sz="4"/>
              <w:bottom w:val="single" w:color="000000" w:sz="4"/>
              <w:right w:val="single" w:color="000000" w:sz="4"/>
            </w:tcBorders>
            <w:vAlign w:val="top"/>
          </w:tcPr>
          <w:p>
            <w:pPr>
              <w:jc w:val="center"/>
            </w:pPr>
            <w:r>
              <w:rPr>
                <w:b/>
                <w:sz w:val="24"/>
              </w:rPr>
              <w:t>含税</w:t>
            </w:r>
            <w:r>
              <w:rPr>
                <w:b/>
                <w:sz w:val="24"/>
              </w:rPr>
              <w:t>/免税</w:t>
            </w:r>
          </w:p>
        </w:tc>
      </w:tr>
      <w:tr>
        <w:tc>
          <w:tcPr>
            <w:tcW w:type="dxa" w:w="1065"/>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472"/>
            <w:tcBorders>
              <w:top w:val="none" w:color="000000" w:sz="4"/>
              <w:left w:val="none" w:color="000000" w:sz="4"/>
              <w:bottom w:val="single" w:color="000000" w:sz="4"/>
              <w:right w:val="single" w:color="000000" w:sz="4"/>
            </w:tcBorders>
            <w:vAlign w:val="top"/>
          </w:tcPr>
          <w:p>
            <w:pPr>
              <w:jc w:val="center"/>
            </w:pPr>
            <w:r>
              <w:rPr>
                <w:sz w:val="24"/>
              </w:rPr>
              <w:t>高温材料合成炉</w:t>
            </w:r>
          </w:p>
        </w:tc>
        <w:tc>
          <w:tcPr>
            <w:tcW w:type="dxa" w:w="710"/>
            <w:tcBorders>
              <w:top w:val="none" w:color="000000" w:sz="4"/>
              <w:left w:val="none" w:color="000000" w:sz="4"/>
              <w:bottom w:val="single" w:color="000000" w:sz="4"/>
              <w:right w:val="single" w:color="000000" w:sz="4"/>
            </w:tcBorders>
            <w:vAlign w:val="top"/>
          </w:tcPr>
          <w:p>
            <w:pPr>
              <w:jc w:val="center"/>
            </w:pPr>
            <w:r>
              <w:rPr>
                <w:sz w:val="24"/>
              </w:rPr>
              <w:t>1</w:t>
            </w:r>
          </w:p>
        </w:tc>
        <w:tc>
          <w:tcPr>
            <w:tcW w:type="dxa" w:w="724"/>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83"/>
            <w:tcBorders>
              <w:top w:val="none" w:color="000000" w:sz="4"/>
              <w:left w:val="none" w:color="000000" w:sz="4"/>
              <w:bottom w:val="single" w:color="000000" w:sz="4"/>
              <w:right w:val="single" w:color="000000" w:sz="4"/>
            </w:tcBorders>
            <w:vAlign w:val="top"/>
          </w:tcPr>
          <w:p>
            <w:pPr>
              <w:jc w:val="center"/>
            </w:pPr>
            <w:r>
              <w:rPr>
                <w:sz w:val="24"/>
              </w:rPr>
              <w:t>21</w:t>
            </w:r>
          </w:p>
        </w:tc>
        <w:tc>
          <w:tcPr>
            <w:tcW w:type="dxa" w:w="846"/>
            <w:tcBorders>
              <w:top w:val="none" w:color="000000" w:sz="4"/>
              <w:left w:val="none" w:color="000000" w:sz="4"/>
              <w:bottom w:val="single" w:color="000000" w:sz="4"/>
              <w:right w:val="single" w:color="000000" w:sz="4"/>
            </w:tcBorders>
            <w:vAlign w:val="top"/>
          </w:tcPr>
          <w:p>
            <w:pPr>
              <w:jc w:val="center"/>
            </w:pPr>
            <w:r>
              <w:rPr>
                <w:sz w:val="24"/>
              </w:rPr>
              <w:t>1</w:t>
            </w:r>
          </w:p>
        </w:tc>
        <w:tc>
          <w:tcPr>
            <w:tcW w:type="dxa" w:w="724"/>
            <w:tcBorders>
              <w:top w:val="none" w:color="000000" w:sz="4"/>
              <w:left w:val="none" w:color="000000" w:sz="4"/>
              <w:bottom w:val="single" w:color="000000" w:sz="4"/>
              <w:right w:val="single" w:color="000000" w:sz="4"/>
            </w:tcBorders>
            <w:vAlign w:val="top"/>
          </w:tcPr>
          <w:p>
            <w:pPr>
              <w:jc w:val="center"/>
            </w:pPr>
            <w:r>
              <w:rPr>
                <w:sz w:val="24"/>
              </w:rPr>
              <w:t>国产</w:t>
            </w:r>
          </w:p>
        </w:tc>
        <w:tc>
          <w:tcPr>
            <w:tcW w:type="dxa" w:w="737"/>
            <w:tcBorders>
              <w:top w:val="none" w:color="000000" w:sz="4"/>
              <w:left w:val="none" w:color="000000" w:sz="4"/>
              <w:bottom w:val="single" w:color="000000" w:sz="4"/>
              <w:right w:val="single" w:color="000000" w:sz="4"/>
            </w:tcBorders>
            <w:vAlign w:val="top"/>
          </w:tcPr>
          <w:p>
            <w:pPr>
              <w:jc w:val="center"/>
            </w:pPr>
            <w:r>
              <w:rPr>
                <w:sz w:val="24"/>
              </w:rPr>
              <w:t>含税</w:t>
            </w:r>
          </w:p>
        </w:tc>
      </w:tr>
    </w:tbl>
    <w:p>
      <w:pPr>
        <w:ind w:firstLine="482"/>
        <w:jc w:val="both"/>
      </w:pPr>
      <w:r>
        <w:rPr>
          <w:b/>
          <w:sz w:val="24"/>
        </w:rPr>
        <w:t>采购包</w:t>
      </w:r>
      <w:r>
        <w:rPr>
          <w:b/>
          <w:sz w:val="24"/>
        </w:rPr>
        <w:t>3</w:t>
      </w:r>
      <w:r>
        <w:rPr>
          <w:b/>
          <w:sz w:val="24"/>
        </w:rPr>
        <w:t>(</w:t>
      </w:r>
      <w:r>
        <w:rPr>
          <w:b/>
          <w:sz w:val="24"/>
        </w:rPr>
        <w:t>引线键合机</w:t>
      </w:r>
      <w:r>
        <w:rPr>
          <w:b/>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088"/>
        <w:gridCol w:w="2191"/>
        <w:gridCol w:w="879"/>
        <w:gridCol w:w="656"/>
        <w:gridCol w:w="991"/>
        <w:gridCol w:w="893"/>
        <w:gridCol w:w="767"/>
        <w:gridCol w:w="781"/>
      </w:tblGrid>
      <w:tr>
        <w:tc>
          <w:tcPr>
            <w:tcW w:type="dxa" w:w="1088"/>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2191"/>
            <w:tcBorders>
              <w:top w:val="single" w:color="000000" w:sz="4"/>
              <w:left w:val="none" w:color="000000" w:sz="4"/>
              <w:bottom w:val="single" w:color="000000" w:sz="4"/>
              <w:right w:val="single" w:color="000000" w:sz="4"/>
            </w:tcBorders>
            <w:vAlign w:val="top"/>
          </w:tcPr>
          <w:p>
            <w:pPr>
              <w:jc w:val="center"/>
            </w:pPr>
            <w:r>
              <w:rPr>
                <w:b/>
                <w:sz w:val="24"/>
              </w:rPr>
              <w:t>设备名称</w:t>
            </w:r>
          </w:p>
        </w:tc>
        <w:tc>
          <w:tcPr>
            <w:tcW w:type="dxa" w:w="879"/>
            <w:tcBorders>
              <w:top w:val="single" w:color="000000" w:sz="4"/>
              <w:left w:val="none" w:color="000000" w:sz="4"/>
              <w:bottom w:val="single" w:color="000000" w:sz="4"/>
              <w:right w:val="single" w:color="000000" w:sz="4"/>
            </w:tcBorders>
            <w:vAlign w:val="top"/>
          </w:tcPr>
          <w:p>
            <w:pPr>
              <w:jc w:val="center"/>
            </w:pPr>
            <w:r>
              <w:rPr>
                <w:b/>
                <w:sz w:val="24"/>
              </w:rPr>
              <w:t>数量</w:t>
            </w:r>
          </w:p>
        </w:tc>
        <w:tc>
          <w:tcPr>
            <w:tcW w:type="dxa" w:w="656"/>
            <w:tcBorders>
              <w:top w:val="single" w:color="000000" w:sz="4"/>
              <w:left w:val="none" w:color="000000" w:sz="4"/>
              <w:bottom w:val="single" w:color="000000" w:sz="4"/>
              <w:right w:val="single" w:color="000000" w:sz="4"/>
            </w:tcBorders>
            <w:vAlign w:val="top"/>
          </w:tcPr>
          <w:p>
            <w:pPr>
              <w:jc w:val="center"/>
            </w:pPr>
            <w:r>
              <w:rPr>
                <w:b/>
                <w:sz w:val="24"/>
              </w:rPr>
              <w:t>计量</w:t>
            </w:r>
          </w:p>
          <w:p>
            <w:pPr>
              <w:jc w:val="center"/>
            </w:pPr>
            <w:r>
              <w:rPr>
                <w:b/>
                <w:sz w:val="24"/>
              </w:rPr>
              <w:t>单位</w:t>
            </w:r>
          </w:p>
        </w:tc>
        <w:tc>
          <w:tcPr>
            <w:tcW w:type="dxa" w:w="991"/>
            <w:tcBorders>
              <w:top w:val="single" w:color="000000" w:sz="4"/>
              <w:left w:val="none" w:color="000000" w:sz="4"/>
              <w:bottom w:val="single" w:color="000000" w:sz="4"/>
              <w:right w:val="single" w:color="000000" w:sz="4"/>
            </w:tcBorders>
            <w:vAlign w:val="top"/>
          </w:tcPr>
          <w:p>
            <w:pPr>
              <w:jc w:val="center"/>
            </w:pPr>
            <w:r>
              <w:rPr>
                <w:b/>
                <w:sz w:val="24"/>
              </w:rPr>
              <w:t>单价</w:t>
            </w:r>
            <w:r>
              <w:rPr>
                <w:b/>
                <w:sz w:val="24"/>
              </w:rPr>
              <w:t>最高限价</w:t>
            </w:r>
            <w:r>
              <w:rPr>
                <w:b/>
                <w:sz w:val="24"/>
              </w:rPr>
              <w:t>（万元）</w:t>
            </w:r>
          </w:p>
        </w:tc>
        <w:tc>
          <w:tcPr>
            <w:tcW w:type="dxa" w:w="893"/>
            <w:tcBorders>
              <w:top w:val="single" w:color="000000" w:sz="4"/>
              <w:left w:val="single" w:color="000000" w:sz="4"/>
              <w:bottom w:val="single" w:color="000000" w:sz="4"/>
              <w:right w:val="single" w:color="000000" w:sz="4"/>
            </w:tcBorders>
            <w:vAlign w:val="top"/>
          </w:tcPr>
          <w:p>
            <w:pPr>
              <w:jc w:val="center"/>
            </w:pPr>
            <w:r>
              <w:rPr>
                <w:b/>
                <w:sz w:val="24"/>
              </w:rPr>
              <w:t>保修期（年）</w:t>
            </w:r>
          </w:p>
        </w:tc>
        <w:tc>
          <w:tcPr>
            <w:tcW w:type="dxa" w:w="767"/>
            <w:tcBorders>
              <w:top w:val="single" w:color="000000" w:sz="4"/>
              <w:left w:val="none" w:color="000000" w:sz="4"/>
              <w:bottom w:val="single" w:color="000000" w:sz="4"/>
              <w:right w:val="single" w:color="000000" w:sz="4"/>
            </w:tcBorders>
            <w:vAlign w:val="top"/>
          </w:tcPr>
          <w:p>
            <w:pPr>
              <w:jc w:val="center"/>
            </w:pPr>
            <w:r>
              <w:rPr>
                <w:b/>
                <w:sz w:val="24"/>
              </w:rPr>
              <w:t>国产</w:t>
            </w:r>
            <w:r>
              <w:rPr>
                <w:b/>
                <w:sz w:val="24"/>
              </w:rPr>
              <w:t>/进口</w:t>
            </w:r>
          </w:p>
        </w:tc>
        <w:tc>
          <w:tcPr>
            <w:tcW w:type="dxa" w:w="781"/>
            <w:tcBorders>
              <w:top w:val="single" w:color="000000" w:sz="4"/>
              <w:left w:val="none" w:color="000000" w:sz="4"/>
              <w:bottom w:val="single" w:color="000000" w:sz="4"/>
              <w:right w:val="single" w:color="000000" w:sz="4"/>
            </w:tcBorders>
            <w:vAlign w:val="top"/>
          </w:tcPr>
          <w:p>
            <w:pPr>
              <w:jc w:val="center"/>
            </w:pPr>
            <w:r>
              <w:rPr>
                <w:b/>
                <w:sz w:val="24"/>
              </w:rPr>
              <w:t>含税</w:t>
            </w:r>
            <w:r>
              <w:rPr>
                <w:b/>
                <w:sz w:val="24"/>
              </w:rPr>
              <w:t>/免税</w:t>
            </w:r>
          </w:p>
        </w:tc>
      </w:tr>
      <w:tr>
        <w:tc>
          <w:tcPr>
            <w:tcW w:type="dxa" w:w="1088"/>
            <w:tcBorders>
              <w:top w:val="none" w:color="000000" w:sz="4"/>
              <w:left w:val="single" w:color="000000" w:sz="4"/>
              <w:bottom w:val="single" w:color="000000" w:sz="4"/>
              <w:right w:val="single" w:color="000000" w:sz="4"/>
            </w:tcBorders>
            <w:vAlign w:val="top"/>
          </w:tcPr>
          <w:p>
            <w:pPr>
              <w:jc w:val="center"/>
            </w:pPr>
            <w:r>
              <w:rPr>
                <w:sz w:val="24"/>
              </w:rPr>
              <w:t>1</w:t>
            </w:r>
          </w:p>
        </w:tc>
        <w:tc>
          <w:tcPr>
            <w:tcW w:type="dxa" w:w="2191"/>
            <w:tcBorders>
              <w:top w:val="none" w:color="000000" w:sz="4"/>
              <w:left w:val="none" w:color="000000" w:sz="4"/>
              <w:bottom w:val="single" w:color="000000" w:sz="4"/>
              <w:right w:val="single" w:color="000000" w:sz="4"/>
            </w:tcBorders>
            <w:vAlign w:val="top"/>
          </w:tcPr>
          <w:p>
            <w:pPr>
              <w:jc w:val="center"/>
            </w:pPr>
            <w:r>
              <w:rPr>
                <w:sz w:val="24"/>
              </w:rPr>
              <w:t>引线键合机</w:t>
            </w:r>
          </w:p>
        </w:tc>
        <w:tc>
          <w:tcPr>
            <w:tcW w:type="dxa" w:w="879"/>
            <w:tcBorders>
              <w:top w:val="none" w:color="000000" w:sz="4"/>
              <w:left w:val="none" w:color="000000" w:sz="4"/>
              <w:bottom w:val="single" w:color="000000" w:sz="4"/>
              <w:right w:val="single" w:color="000000" w:sz="4"/>
            </w:tcBorders>
            <w:vAlign w:val="top"/>
          </w:tcPr>
          <w:p>
            <w:pPr>
              <w:jc w:val="center"/>
            </w:pPr>
            <w:r>
              <w:rPr>
                <w:sz w:val="24"/>
              </w:rPr>
              <w:t>1</w:t>
            </w:r>
          </w:p>
        </w:tc>
        <w:tc>
          <w:tcPr>
            <w:tcW w:type="dxa" w:w="656"/>
            <w:tcBorders>
              <w:top w:val="none" w:color="000000" w:sz="4"/>
              <w:left w:val="none" w:color="000000" w:sz="4"/>
              <w:bottom w:val="single" w:color="000000" w:sz="4"/>
              <w:right w:val="single" w:color="000000" w:sz="4"/>
            </w:tcBorders>
            <w:vAlign w:val="top"/>
          </w:tcPr>
          <w:p>
            <w:pPr>
              <w:jc w:val="center"/>
            </w:pPr>
            <w:r>
              <w:rPr>
                <w:sz w:val="24"/>
              </w:rPr>
              <w:t>台</w:t>
            </w:r>
          </w:p>
        </w:tc>
        <w:tc>
          <w:tcPr>
            <w:tcW w:type="dxa" w:w="991"/>
            <w:tcBorders>
              <w:top w:val="none" w:color="000000" w:sz="4"/>
              <w:left w:val="none" w:color="000000" w:sz="4"/>
              <w:bottom w:val="single" w:color="000000" w:sz="4"/>
              <w:right w:val="single" w:color="000000" w:sz="4"/>
            </w:tcBorders>
            <w:vAlign w:val="top"/>
          </w:tcPr>
          <w:p>
            <w:pPr>
              <w:jc w:val="center"/>
            </w:pPr>
            <w:r>
              <w:rPr>
                <w:sz w:val="24"/>
              </w:rPr>
              <w:t>23</w:t>
            </w:r>
          </w:p>
        </w:tc>
        <w:tc>
          <w:tcPr>
            <w:tcW w:type="dxa" w:w="893"/>
            <w:tcBorders>
              <w:top w:val="none" w:color="000000" w:sz="4"/>
              <w:left w:val="none" w:color="000000" w:sz="4"/>
              <w:bottom w:val="single" w:color="000000" w:sz="4"/>
              <w:right w:val="single" w:color="000000" w:sz="4"/>
            </w:tcBorders>
            <w:vAlign w:val="top"/>
          </w:tcPr>
          <w:p>
            <w:pPr>
              <w:jc w:val="center"/>
            </w:pPr>
            <w:r>
              <w:rPr>
                <w:sz w:val="24"/>
              </w:rPr>
              <w:t>1</w:t>
            </w:r>
          </w:p>
        </w:tc>
        <w:tc>
          <w:tcPr>
            <w:tcW w:type="dxa" w:w="767"/>
            <w:tcBorders>
              <w:top w:val="none" w:color="000000" w:sz="4"/>
              <w:left w:val="none" w:color="000000" w:sz="4"/>
              <w:bottom w:val="single" w:color="000000" w:sz="4"/>
              <w:right w:val="single" w:color="000000" w:sz="4"/>
            </w:tcBorders>
            <w:vAlign w:val="top"/>
          </w:tcPr>
          <w:p>
            <w:pPr>
              <w:jc w:val="center"/>
            </w:pPr>
            <w:r>
              <w:rPr>
                <w:sz w:val="24"/>
              </w:rPr>
              <w:t>国产</w:t>
            </w:r>
          </w:p>
        </w:tc>
        <w:tc>
          <w:tcPr>
            <w:tcW w:type="dxa" w:w="781"/>
            <w:tcBorders>
              <w:top w:val="none" w:color="000000" w:sz="4"/>
              <w:left w:val="none" w:color="000000" w:sz="4"/>
              <w:bottom w:val="single" w:color="000000" w:sz="4"/>
              <w:right w:val="single" w:color="000000" w:sz="4"/>
            </w:tcBorders>
            <w:vAlign w:val="top"/>
          </w:tcPr>
          <w:p>
            <w:pPr>
              <w:jc w:val="center"/>
            </w:pPr>
            <w:r>
              <w:rPr>
                <w:sz w:val="24"/>
              </w:rPr>
              <w:t>含税</w:t>
            </w:r>
          </w:p>
        </w:tc>
      </w:tr>
    </w:tbl>
    <w:p>
      <w:pPr>
        <w:ind w:firstLine="400"/>
      </w:pPr>
    </w:p>
    <w:p/>
    <w:p>
      <w:pPr>
        <w:ind w:firstLine="480"/>
      </w:pPr>
    </w:p>
    <w:p/>
    <w:p>
      <w:r>
        <w:rPr/>
        <w:t>采购包1（荧光量子效率测量系统）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合同生效60天内中标人完成货物安装调试并交付使用。</w:t>
            </w:r>
          </w:p>
        </w:tc>
      </w:tr>
      <w:tr>
        <w:tc>
          <w:tcPr>
            <w:tcW w:type="dxa" w:w="4153"/>
          </w:tcPr>
          <w:p>
            <w:r>
              <w:rPr/>
              <w:t>标的提供的地点</w:t>
            </w:r>
          </w:p>
        </w:tc>
        <w:tc>
          <w:tcPr>
            <w:tcW w:type="dxa" w:w="4153"/>
          </w:tcPr>
          <w:p/>
          <w:p>
            <w:r>
              <w:rPr/>
              <w:t>广东工业大学大学城校区物理与光电工程学院指定地点。</w:t>
            </w:r>
          </w:p>
        </w:tc>
      </w:tr>
      <w:tr>
        <w:tc>
          <w:tcPr>
            <w:tcW w:type="dxa" w:w="4153"/>
          </w:tcPr>
          <w:p>
            <w:r>
              <w:rPr/>
              <w:t>付款方式</w:t>
            </w:r>
          </w:p>
        </w:tc>
        <w:tc>
          <w:tcPr>
            <w:tcW w:type="dxa" w:w="4153"/>
          </w:tcPr>
          <w:p/>
          <w:p/>
          <w:p>
            <w:r>
              <w:rPr/>
              <w:t>1期：支付比例60%,★合同生效后，采购人按相关规定向中标人支付60%的合同货款作为预付款。</w:t>
            </w:r>
          </w:p>
          <w:p/>
          <w:p>
            <w:r>
              <w:rPr/>
              <w:t>2期：支付比例40%,★货物安装调试完毕，经采购人、中标人双方对货物进行验收合格并完成交付后，中标人开具全额增值税专用发票给采购人作为报账凭证。收到报账凭证后，采购人按其规章制度办理支付手续向中标人支付剩余40%的合同货款。</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采购人、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其他，（一）货物质量要求 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中标人提供的货物必须是原厂原装全新正版产品（含零部件、配件、随机工具等），包装外观完好、表面无划伤无破损、附件齐全，整机无污染、无任何缺陷隐患，序列号、包装箱号与出厂批号一致，并可追索查阅。国内货物则必须具备出厂合格证，所有货物在中国境内可依常规安全合法使用。 3.★中标人对提供的货物提供1年的质量保证期。货物在质量保证期内被证明有缺陷，包括内在缺陷或使用不适当原材料，中标人应予退换货。 （二）到货检验、安装与调试 1.货物送到采购人指定地点后，采购人中标人双方代表同时在场时才能开箱检验。 2.采购人中标人双方就货物进行的检验包括但不限于名称、品牌、规格、型号、产地、数量外在可视参数。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3.除非采购人另有通知，中标人应按照合同的要求以及合同执行计划的时间安排，派出足够的人员进行现场安装和调试工作，并承担货物安装调试过程所产生的一切费用和责任直到验收合格。 4.中标人必须依照招标文件的要求和投标文件的承诺，将货物安装并调试至正常运行的最佳状态。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 （三）培训及售后服务 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2.所有货物保修期为1年，中标人提供免费1年上门保修服务和系统维护，中标人不再收取任何费用，保修期自采购人中标人双方代表在货物安装调试后的验收证明文件上签字之日起计算。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其他仪器仪表</w:t>
            </w:r>
          </w:p>
        </w:tc>
        <w:tc>
          <w:tcPr>
            <w:tcW w:type="dxa" w:w="831"/>
          </w:tcPr>
          <w:p>
            <w:pPr>
              <w:jc w:val="left"/>
            </w:pPr>
            <w:r>
              <w:rPr/>
              <w:t>荧光量子效率测量系统</w:t>
            </w:r>
          </w:p>
        </w:tc>
        <w:tc>
          <w:tcPr>
            <w:tcW w:type="dxa" w:w="831"/>
          </w:tcPr>
          <w:p>
            <w:pPr>
              <w:jc w:val="left"/>
            </w:pPr>
            <w:r>
              <w:rPr/>
              <w:t>套</w:t>
            </w:r>
          </w:p>
        </w:tc>
        <w:tc>
          <w:tcPr>
            <w:tcW w:type="dxa" w:w="831"/>
          </w:tcPr>
          <w:p>
            <w:pPr>
              <w:jc w:val="right"/>
            </w:pPr>
            <w:r>
              <w:rPr/>
              <w:t>1.00</w:t>
            </w:r>
          </w:p>
        </w:tc>
        <w:tc>
          <w:tcPr>
            <w:tcW w:type="dxa" w:w="831"/>
          </w:tcPr>
          <w:p>
            <w:pPr>
              <w:jc w:val="right"/>
            </w:pPr>
            <w:r>
              <w:rPr/>
              <w:t>265,000.00</w:t>
            </w:r>
          </w:p>
        </w:tc>
        <w:tc>
          <w:tcPr>
            <w:tcW w:type="dxa" w:w="831"/>
          </w:tcPr>
          <w:p>
            <w:pPr>
              <w:jc w:val="right"/>
            </w:pPr>
            <w:r>
              <w:rPr/>
              <w:t>265,000.00</w:t>
            </w:r>
          </w:p>
        </w:tc>
        <w:tc>
          <w:tcPr>
            <w:tcW w:type="dxa" w:w="831"/>
          </w:tcPr>
          <w:p>
            <w:r>
              <w:rPr/>
              <w:t>工业</w:t>
            </w:r>
          </w:p>
        </w:tc>
        <w:tc>
          <w:tcPr>
            <w:tcW w:type="dxa" w:w="831"/>
          </w:tcPr>
          <w:p>
            <w:r>
              <w:rPr/>
              <w:t>详见附表一</w:t>
            </w:r>
          </w:p>
        </w:tc>
      </w:tr>
    </w:tbl>
    <w:p/>
    <w:p>
      <w:r>
        <w:rPr>
          <w:b/>
        </w:rPr>
        <w:t>附表</w:t>
      </w:r>
      <w:r>
        <w:rPr>
          <w:b/>
        </w:rPr>
        <w:t>一</w:t>
      </w:r>
      <w:r>
        <w:rPr>
          <w:b/>
        </w:rPr>
        <w:t>：</w:t>
      </w:r>
      <w:r>
        <w:rPr>
          <w:b/>
        </w:rPr>
        <w:t>荧光量子效率测量系统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4"/>
              </w:rPr>
              <w:t>效率测量范围：</w:t>
            </w:r>
            <w:r>
              <w:rPr>
                <w:sz w:val="24"/>
              </w:rPr>
              <w:t>0.1-100%</w:t>
            </w:r>
          </w:p>
        </w:tc>
      </w:tr>
      <w:tr>
        <w:tc>
          <w:tcPr>
            <w:tcW w:type="dxa" w:w="2076"/>
          </w:tcPr>
          <w:p/>
        </w:tc>
        <w:tc>
          <w:tcPr>
            <w:tcW w:type="dxa" w:w="415"/>
          </w:tcPr>
          <w:p>
            <w:r>
              <w:rPr/>
              <w:t>2</w:t>
            </w:r>
          </w:p>
        </w:tc>
        <w:tc>
          <w:tcPr>
            <w:tcW w:type="dxa" w:w="5814"/>
          </w:tcPr>
          <w:p>
            <w:r>
              <w:rPr>
                <w:sz w:val="24"/>
              </w:rPr>
              <w:t>仪器重复性：</w:t>
            </w:r>
            <w:r>
              <w:rPr>
                <w:sz w:val="21"/>
              </w:rPr>
              <w:t>≥</w:t>
            </w:r>
            <w:r>
              <w:rPr>
                <w:sz w:val="24"/>
              </w:rPr>
              <w:t>99%</w:t>
            </w:r>
          </w:p>
        </w:tc>
      </w:tr>
      <w:tr>
        <w:tc>
          <w:tcPr>
            <w:tcW w:type="dxa" w:w="2076"/>
          </w:tcPr>
          <w:p/>
        </w:tc>
        <w:tc>
          <w:tcPr>
            <w:tcW w:type="dxa" w:w="415"/>
          </w:tcPr>
          <w:p>
            <w:r>
              <w:rPr/>
              <w:t>3</w:t>
            </w:r>
          </w:p>
        </w:tc>
        <w:tc>
          <w:tcPr>
            <w:tcW w:type="dxa" w:w="5814"/>
          </w:tcPr>
          <w:p>
            <w:r>
              <w:rPr>
                <w:sz w:val="24"/>
              </w:rPr>
              <w:t>相对误差：</w:t>
            </w:r>
            <w:r>
              <w:rPr>
                <w:sz w:val="21"/>
              </w:rPr>
              <w:t>≤</w:t>
            </w:r>
            <w:r>
              <w:rPr>
                <w:sz w:val="24"/>
              </w:rPr>
              <w:t>3%</w:t>
            </w:r>
          </w:p>
        </w:tc>
      </w:tr>
      <w:tr>
        <w:tc>
          <w:tcPr>
            <w:tcW w:type="dxa" w:w="2076"/>
          </w:tcPr>
          <w:p/>
        </w:tc>
        <w:tc>
          <w:tcPr>
            <w:tcW w:type="dxa" w:w="415"/>
          </w:tcPr>
          <w:p>
            <w:r>
              <w:rPr/>
              <w:t>4</w:t>
            </w:r>
          </w:p>
        </w:tc>
        <w:tc>
          <w:tcPr>
            <w:tcW w:type="dxa" w:w="5814"/>
          </w:tcPr>
          <w:p>
            <w:r>
              <w:rPr>
                <w:sz w:val="24"/>
              </w:rPr>
              <w:t>最小亮度：</w:t>
            </w:r>
            <w:r>
              <w:rPr>
                <w:sz w:val="24"/>
              </w:rPr>
              <w:t>≤0.</w:t>
            </w:r>
            <w:r>
              <w:rPr>
                <w:sz w:val="24"/>
              </w:rPr>
              <w:t>0</w:t>
            </w:r>
            <w:r>
              <w:rPr>
                <w:sz w:val="24"/>
              </w:rPr>
              <w:t>1 cd/m</w:t>
            </w:r>
            <w:r>
              <w:rPr>
                <w:sz w:val="24"/>
                <w:vertAlign w:val="superscript"/>
              </w:rPr>
              <w:t>2</w:t>
            </w:r>
          </w:p>
        </w:tc>
      </w:tr>
      <w:tr>
        <w:tc>
          <w:tcPr>
            <w:tcW w:type="dxa" w:w="2076"/>
          </w:tcPr>
          <w:p/>
        </w:tc>
        <w:tc>
          <w:tcPr>
            <w:tcW w:type="dxa" w:w="415"/>
          </w:tcPr>
          <w:p>
            <w:r>
              <w:rPr/>
              <w:t>5</w:t>
            </w:r>
          </w:p>
        </w:tc>
        <w:tc>
          <w:tcPr>
            <w:tcW w:type="dxa" w:w="5814"/>
          </w:tcPr>
          <w:p>
            <w:r>
              <w:rPr>
                <w:sz w:val="24"/>
              </w:rPr>
              <w:t>EQE光谱范围：350-1100nm</w:t>
            </w:r>
          </w:p>
        </w:tc>
      </w:tr>
      <w:tr>
        <w:tc>
          <w:tcPr>
            <w:tcW w:type="dxa" w:w="2076"/>
          </w:tcPr>
          <w:p/>
        </w:tc>
        <w:tc>
          <w:tcPr>
            <w:tcW w:type="dxa" w:w="415"/>
          </w:tcPr>
          <w:p>
            <w:r>
              <w:rPr/>
              <w:t>6</w:t>
            </w:r>
          </w:p>
        </w:tc>
        <w:tc>
          <w:tcPr>
            <w:tcW w:type="dxa" w:w="5814"/>
          </w:tcPr>
          <w:p>
            <w:r>
              <w:rPr>
                <w:sz w:val="24"/>
              </w:rPr>
              <w:t>量子效率误差：</w:t>
            </w:r>
            <w:r>
              <w:rPr>
                <w:sz w:val="21"/>
              </w:rPr>
              <w:t>≤</w:t>
            </w:r>
            <w:r>
              <w:rPr>
                <w:sz w:val="24"/>
              </w:rPr>
              <w:t>3%</w:t>
            </w:r>
          </w:p>
        </w:tc>
      </w:tr>
      <w:tr>
        <w:tc>
          <w:tcPr>
            <w:tcW w:type="dxa" w:w="2076"/>
          </w:tcPr>
          <w:p>
            <w:r>
              <w:rPr/>
              <w:t>★</w:t>
            </w:r>
          </w:p>
        </w:tc>
        <w:tc>
          <w:tcPr>
            <w:tcW w:type="dxa" w:w="415"/>
          </w:tcPr>
          <w:p>
            <w:r>
              <w:rPr/>
              <w:t>7</w:t>
            </w:r>
          </w:p>
        </w:tc>
        <w:tc>
          <w:tcPr>
            <w:tcW w:type="dxa" w:w="5814"/>
          </w:tcPr>
          <w:p>
            <w:r>
              <w:rPr>
                <w:sz w:val="24"/>
              </w:rPr>
              <w:t>探测器：背照式面阵</w:t>
            </w:r>
            <w:r>
              <w:rPr>
                <w:sz w:val="24"/>
              </w:rPr>
              <w:t>CCD</w:t>
            </w:r>
            <w:r>
              <w:rPr>
                <w:sz w:val="24"/>
              </w:rPr>
              <w:t>和光电探测器</w:t>
            </w:r>
          </w:p>
        </w:tc>
      </w:tr>
      <w:tr>
        <w:tc>
          <w:tcPr>
            <w:tcW w:type="dxa" w:w="2076"/>
          </w:tcPr>
          <w:p>
            <w:r>
              <w:rPr/>
              <w:t>▲</w:t>
            </w:r>
          </w:p>
        </w:tc>
        <w:tc>
          <w:tcPr>
            <w:tcW w:type="dxa" w:w="415"/>
          </w:tcPr>
          <w:p>
            <w:r>
              <w:rPr/>
              <w:t>8</w:t>
            </w:r>
          </w:p>
        </w:tc>
        <w:tc>
          <w:tcPr>
            <w:tcW w:type="dxa" w:w="5814"/>
          </w:tcPr>
          <w:p>
            <w:r>
              <w:rPr>
                <w:sz w:val="24"/>
              </w:rPr>
              <w:t>光电探测器：波长范围</w:t>
            </w:r>
            <w:r>
              <w:rPr>
                <w:sz w:val="24"/>
              </w:rPr>
              <w:t>3</w:t>
            </w:r>
            <w:r>
              <w:rPr>
                <w:sz w:val="24"/>
              </w:rPr>
              <w:t>50</w:t>
            </w:r>
            <w:r>
              <w:rPr>
                <w:sz w:val="24"/>
              </w:rPr>
              <w:t>-</w:t>
            </w:r>
            <w:r>
              <w:rPr>
                <w:sz w:val="24"/>
              </w:rPr>
              <w:t>1100</w:t>
            </w:r>
            <w:r>
              <w:rPr>
                <w:sz w:val="24"/>
              </w:rPr>
              <w:t>nm；暗电流2</w:t>
            </w:r>
            <w:r>
              <w:rPr>
                <w:sz w:val="24"/>
              </w:rPr>
              <w:t>00</w:t>
            </w:r>
            <w:r>
              <w:rPr>
                <w:sz w:val="24"/>
              </w:rPr>
              <w:t>p</w:t>
            </w:r>
            <w:r>
              <w:rPr>
                <w:sz w:val="24"/>
              </w:rPr>
              <w:t>A</w:t>
            </w:r>
            <w:r>
              <w:rPr>
                <w:sz w:val="24"/>
              </w:rPr>
              <w:t>；响应时间</w:t>
            </w:r>
            <w:r>
              <w:rPr>
                <w:sz w:val="21"/>
              </w:rPr>
              <w:t>≤</w:t>
            </w:r>
            <w:r>
              <w:rPr>
                <w:sz w:val="24"/>
              </w:rPr>
              <w:t>5</w:t>
            </w:r>
            <w:r>
              <w:rPr>
                <w:sz w:val="24"/>
              </w:rPr>
              <w:t>0</w:t>
            </w:r>
            <w:r>
              <w:rPr>
                <w:sz w:val="24"/>
              </w:rPr>
              <w:t>n</w:t>
            </w:r>
            <w:r>
              <w:rPr>
                <w:sz w:val="24"/>
              </w:rPr>
              <w:t>s</w:t>
            </w:r>
          </w:p>
        </w:tc>
      </w:tr>
      <w:tr>
        <w:tc>
          <w:tcPr>
            <w:tcW w:type="dxa" w:w="2076"/>
          </w:tcPr>
          <w:p/>
        </w:tc>
        <w:tc>
          <w:tcPr>
            <w:tcW w:type="dxa" w:w="415"/>
          </w:tcPr>
          <w:p>
            <w:r>
              <w:rPr/>
              <w:t>9</w:t>
            </w:r>
          </w:p>
        </w:tc>
        <w:tc>
          <w:tcPr>
            <w:tcW w:type="dxa" w:w="5814"/>
          </w:tcPr>
          <w:p>
            <w:r>
              <w:rPr>
                <w:sz w:val="24"/>
              </w:rPr>
              <w:t>光电探测器主机：电流范围</w:t>
            </w:r>
            <w:r>
              <w:rPr>
                <w:sz w:val="24"/>
              </w:rPr>
              <w:t>10pA-2mA</w:t>
            </w:r>
            <w:r>
              <w:rPr>
                <w:sz w:val="24"/>
              </w:rPr>
              <w:t>；输入输出隔离</w:t>
            </w:r>
            <w:r>
              <w:rPr>
                <w:sz w:val="24"/>
              </w:rPr>
              <w:t>≥</w:t>
            </w:r>
            <w:r>
              <w:rPr>
                <w:sz w:val="24"/>
              </w:rPr>
              <w:t>2</w:t>
            </w:r>
            <w:r>
              <w:rPr>
                <w:sz w:val="24"/>
              </w:rPr>
              <w:t>500V</w:t>
            </w:r>
          </w:p>
        </w:tc>
      </w:tr>
      <w:tr>
        <w:tc>
          <w:tcPr>
            <w:tcW w:type="dxa" w:w="2076"/>
          </w:tcPr>
          <w:p>
            <w:r>
              <w:rPr/>
              <w:t>▲</w:t>
            </w:r>
          </w:p>
        </w:tc>
        <w:tc>
          <w:tcPr>
            <w:tcW w:type="dxa" w:w="415"/>
          </w:tcPr>
          <w:p>
            <w:r>
              <w:rPr/>
              <w:t>10</w:t>
            </w:r>
          </w:p>
        </w:tc>
        <w:tc>
          <w:tcPr>
            <w:tcW w:type="dxa" w:w="5814"/>
          </w:tcPr>
          <w:p>
            <w:r>
              <w:rPr>
                <w:sz w:val="24"/>
              </w:rPr>
              <w:t>积分时间：双段积分时间，兼顾低亮和高亮</w:t>
            </w:r>
          </w:p>
        </w:tc>
      </w:tr>
      <w:tr>
        <w:tc>
          <w:tcPr>
            <w:tcW w:type="dxa" w:w="2076"/>
          </w:tcPr>
          <w:p/>
        </w:tc>
        <w:tc>
          <w:tcPr>
            <w:tcW w:type="dxa" w:w="415"/>
          </w:tcPr>
          <w:p>
            <w:r>
              <w:rPr/>
              <w:t>11</w:t>
            </w:r>
          </w:p>
        </w:tc>
        <w:tc>
          <w:tcPr>
            <w:tcW w:type="dxa" w:w="5814"/>
          </w:tcPr>
          <w:p>
            <w:r>
              <w:rPr>
                <w:sz w:val="24"/>
              </w:rPr>
              <w:t>积分球：</w:t>
            </w:r>
            <w:r>
              <w:rPr>
                <w:sz w:val="24"/>
              </w:rPr>
              <w:t>≥3.3英寸量子效率专用</w:t>
            </w:r>
          </w:p>
        </w:tc>
      </w:tr>
      <w:tr>
        <w:tc>
          <w:tcPr>
            <w:tcW w:type="dxa" w:w="2076"/>
          </w:tcPr>
          <w:p/>
        </w:tc>
        <w:tc>
          <w:tcPr>
            <w:tcW w:type="dxa" w:w="415"/>
          </w:tcPr>
          <w:p>
            <w:r>
              <w:rPr/>
              <w:t>12</w:t>
            </w:r>
          </w:p>
        </w:tc>
        <w:tc>
          <w:tcPr>
            <w:tcW w:type="dxa" w:w="5814"/>
          </w:tcPr>
          <w:p>
            <w:r>
              <w:rPr>
                <w:sz w:val="24"/>
              </w:rPr>
              <w:t>积分球漫反射比值：</w:t>
            </w:r>
            <w:r>
              <w:rPr>
                <w:sz w:val="24"/>
              </w:rPr>
              <w:t>≥97%</w:t>
            </w:r>
            <w:r>
              <w:rPr>
                <w:sz w:val="24"/>
              </w:rPr>
              <w:t>（</w:t>
            </w:r>
            <w:r>
              <w:rPr>
                <w:sz w:val="24"/>
              </w:rPr>
              <w:t>400-1700nm</w:t>
            </w:r>
            <w:r>
              <w:rPr>
                <w:sz w:val="24"/>
              </w:rPr>
              <w:t>）</w:t>
            </w:r>
          </w:p>
        </w:tc>
      </w:tr>
      <w:tr>
        <w:tc>
          <w:tcPr>
            <w:tcW w:type="dxa" w:w="2076"/>
          </w:tcPr>
          <w:p/>
        </w:tc>
        <w:tc>
          <w:tcPr>
            <w:tcW w:type="dxa" w:w="415"/>
          </w:tcPr>
          <w:p>
            <w:r>
              <w:rPr/>
              <w:t>13</w:t>
            </w:r>
          </w:p>
        </w:tc>
        <w:tc>
          <w:tcPr>
            <w:tcW w:type="dxa" w:w="5814"/>
          </w:tcPr>
          <w:p>
            <w:r>
              <w:rPr>
                <w:sz w:val="24"/>
              </w:rPr>
              <w:t>激发波长</w:t>
            </w:r>
            <w:r>
              <w:rPr>
                <w:sz w:val="24"/>
              </w:rPr>
              <w:t>、</w:t>
            </w:r>
            <w:r>
              <w:rPr>
                <w:sz w:val="24"/>
              </w:rPr>
              <w:t>激发光功率</w:t>
            </w:r>
            <w:r>
              <w:rPr>
                <w:sz w:val="24"/>
              </w:rPr>
              <w:t>（</w:t>
            </w:r>
            <w:r>
              <w:rPr>
                <w:sz w:val="24"/>
              </w:rPr>
              <w:t>600</w:t>
            </w:r>
            <w:r>
              <w:rPr>
                <w:sz w:val="24"/>
              </w:rPr>
              <w:t>μ</w:t>
            </w:r>
            <w:r>
              <w:rPr>
                <w:sz w:val="24"/>
              </w:rPr>
              <w:t>m</w:t>
            </w:r>
            <w:r>
              <w:rPr>
                <w:sz w:val="24"/>
              </w:rPr>
              <w:t>光纤输出端</w:t>
            </w:r>
            <w:r>
              <w:rPr>
                <w:sz w:val="24"/>
              </w:rPr>
              <w:t>）</w:t>
            </w:r>
            <w:r>
              <w:rPr>
                <w:sz w:val="24"/>
              </w:rPr>
              <w:t>、</w:t>
            </w:r>
            <w:r>
              <w:rPr>
                <w:sz w:val="24"/>
              </w:rPr>
              <w:t>半高峰宽</w:t>
            </w:r>
            <w:r>
              <w:rPr>
                <w:sz w:val="24"/>
              </w:rPr>
              <w:t>：</w:t>
            </w:r>
            <w:r>
              <w:rPr>
                <w:sz w:val="24"/>
              </w:rPr>
              <w:t>365nm，3.5</w:t>
            </w:r>
            <w:r>
              <w:rPr>
                <w:sz w:val="24"/>
              </w:rPr>
              <w:t>mW</w:t>
            </w:r>
            <w:r>
              <w:rPr>
                <w:sz w:val="24"/>
              </w:rPr>
              <w:t>,10nm；385nm，5.2</w:t>
            </w:r>
            <w:r>
              <w:rPr>
                <w:sz w:val="24"/>
              </w:rPr>
              <w:t>mW</w:t>
            </w:r>
            <w:r>
              <w:rPr>
                <w:sz w:val="24"/>
              </w:rPr>
              <w:t>,11nm；405nm，5</w:t>
            </w:r>
            <w:r>
              <w:rPr>
                <w:sz w:val="24"/>
              </w:rPr>
              <w:t>.0</w:t>
            </w:r>
            <w:r>
              <w:rPr>
                <w:sz w:val="24"/>
              </w:rPr>
              <w:t>mW,15nm；450nm，2.5mW,19nm</w:t>
            </w:r>
            <w:r>
              <w:rPr>
                <w:sz w:val="24"/>
              </w:rPr>
              <w:t>。</w:t>
            </w:r>
          </w:p>
        </w:tc>
      </w:tr>
      <w:tr>
        <w:tc>
          <w:tcPr>
            <w:tcW w:type="dxa" w:w="2076"/>
          </w:tcPr>
          <w:p/>
        </w:tc>
        <w:tc>
          <w:tcPr>
            <w:tcW w:type="dxa" w:w="415"/>
          </w:tcPr>
          <w:p>
            <w:r>
              <w:rPr/>
              <w:t>14</w:t>
            </w:r>
          </w:p>
        </w:tc>
        <w:tc>
          <w:tcPr>
            <w:tcW w:type="dxa" w:w="5814"/>
          </w:tcPr>
          <w:p>
            <w:r>
              <w:rPr>
                <w:sz w:val="24"/>
              </w:rPr>
              <w:t>光源稳定性：</w:t>
            </w:r>
            <w:r>
              <w:rPr>
                <w:sz w:val="24"/>
              </w:rPr>
              <w:t>≤0.5%</w:t>
            </w:r>
          </w:p>
        </w:tc>
      </w:tr>
      <w:tr>
        <w:tc>
          <w:tcPr>
            <w:tcW w:type="dxa" w:w="2076"/>
          </w:tcPr>
          <w:p/>
        </w:tc>
        <w:tc>
          <w:tcPr>
            <w:tcW w:type="dxa" w:w="415"/>
          </w:tcPr>
          <w:p>
            <w:r>
              <w:rPr/>
              <w:t>15</w:t>
            </w:r>
          </w:p>
        </w:tc>
        <w:tc>
          <w:tcPr>
            <w:tcW w:type="dxa" w:w="5814"/>
          </w:tcPr>
          <w:p>
            <w:r>
              <w:rPr>
                <w:sz w:val="24"/>
              </w:rPr>
              <w:t>PLQY测试样品台</w:t>
            </w:r>
            <w:r>
              <w:rPr>
                <w:sz w:val="24"/>
              </w:rPr>
              <w:t>：聚四氟乙烯材料，可用于薄膜、液体、粉末样品测试</w:t>
            </w:r>
          </w:p>
        </w:tc>
      </w:tr>
      <w:tr>
        <w:tc>
          <w:tcPr>
            <w:tcW w:type="dxa" w:w="2076"/>
          </w:tcPr>
          <w:p/>
        </w:tc>
        <w:tc>
          <w:tcPr>
            <w:tcW w:type="dxa" w:w="415"/>
          </w:tcPr>
          <w:p>
            <w:r>
              <w:rPr/>
              <w:t>16</w:t>
            </w:r>
          </w:p>
        </w:tc>
        <w:tc>
          <w:tcPr>
            <w:tcW w:type="dxa" w:w="5814"/>
          </w:tcPr>
          <w:p>
            <w:r>
              <w:rPr>
                <w:sz w:val="24"/>
              </w:rPr>
              <w:t>液体</w:t>
            </w:r>
            <w:r>
              <w:rPr>
                <w:sz w:val="24"/>
              </w:rPr>
              <w:t>比色皿</w:t>
            </w:r>
            <w:r>
              <w:rPr>
                <w:sz w:val="24"/>
              </w:rPr>
              <w:t>、薄膜</w:t>
            </w:r>
            <w:r>
              <w:rPr>
                <w:sz w:val="24"/>
              </w:rPr>
              <w:t>比色皿</w:t>
            </w:r>
            <w:r>
              <w:rPr>
                <w:sz w:val="24"/>
              </w:rPr>
              <w:t>、粉末</w:t>
            </w:r>
            <w:r>
              <w:rPr>
                <w:sz w:val="24"/>
              </w:rPr>
              <w:t>比色皿</w:t>
            </w:r>
            <w:r>
              <w:rPr>
                <w:sz w:val="24"/>
              </w:rPr>
              <w:t>：</w:t>
            </w:r>
            <w:r>
              <w:rPr>
                <w:sz w:val="24"/>
              </w:rPr>
              <w:t>石英材料</w:t>
            </w:r>
          </w:p>
        </w:tc>
      </w:tr>
      <w:tr>
        <w:tc>
          <w:tcPr>
            <w:tcW w:type="dxa" w:w="2076"/>
          </w:tcPr>
          <w:p/>
        </w:tc>
        <w:tc>
          <w:tcPr>
            <w:tcW w:type="dxa" w:w="415"/>
          </w:tcPr>
          <w:p>
            <w:r>
              <w:rPr/>
              <w:t>17</w:t>
            </w:r>
          </w:p>
        </w:tc>
        <w:tc>
          <w:tcPr>
            <w:tcW w:type="dxa" w:w="5814"/>
          </w:tcPr>
          <w:p>
            <w:r>
              <w:rPr>
                <w:sz w:val="24"/>
              </w:rPr>
              <w:t>电致发光夹具：</w:t>
            </w:r>
            <w:r>
              <w:rPr>
                <w:sz w:val="24"/>
              </w:rPr>
              <w:t>定制适配用户器件封装的积分球电致发光夹具</w:t>
            </w:r>
          </w:p>
        </w:tc>
      </w:tr>
      <w:tr>
        <w:tc>
          <w:tcPr>
            <w:tcW w:type="dxa" w:w="2076"/>
          </w:tcPr>
          <w:p/>
        </w:tc>
        <w:tc>
          <w:tcPr>
            <w:tcW w:type="dxa" w:w="415"/>
          </w:tcPr>
          <w:p>
            <w:r>
              <w:rPr/>
              <w:t>18</w:t>
            </w:r>
          </w:p>
        </w:tc>
        <w:tc>
          <w:tcPr>
            <w:tcW w:type="dxa" w:w="5814"/>
          </w:tcPr>
          <w:p>
            <w:r>
              <w:rPr>
                <w:sz w:val="24"/>
              </w:rPr>
              <w:t>多通道切换器：软件一键自动测量器件所有点数据</w:t>
            </w:r>
          </w:p>
        </w:tc>
      </w:tr>
      <w:tr>
        <w:tc>
          <w:tcPr>
            <w:tcW w:type="dxa" w:w="2076"/>
          </w:tcPr>
          <w:p>
            <w:r>
              <w:rPr/>
              <w:t>★</w:t>
            </w:r>
          </w:p>
        </w:tc>
        <w:tc>
          <w:tcPr>
            <w:tcW w:type="dxa" w:w="415"/>
          </w:tcPr>
          <w:p>
            <w:r>
              <w:rPr/>
              <w:t>19</w:t>
            </w:r>
          </w:p>
        </w:tc>
        <w:tc>
          <w:tcPr>
            <w:tcW w:type="dxa" w:w="5814"/>
          </w:tcPr>
          <w:p>
            <w:r>
              <w:rPr>
                <w:sz w:val="24"/>
              </w:rPr>
              <w:t>进样方式：电动样品台进样，</w:t>
            </w:r>
            <w:r>
              <w:rPr>
                <w:sz w:val="24"/>
              </w:rPr>
              <w:t>行程</w:t>
            </w:r>
            <w:r>
              <w:rPr>
                <w:sz w:val="24"/>
              </w:rPr>
              <w:t>≥100mm</w:t>
            </w:r>
          </w:p>
        </w:tc>
      </w:tr>
      <w:tr>
        <w:tc>
          <w:tcPr>
            <w:tcW w:type="dxa" w:w="2076"/>
          </w:tcPr>
          <w:p/>
        </w:tc>
        <w:tc>
          <w:tcPr>
            <w:tcW w:type="dxa" w:w="415"/>
          </w:tcPr>
          <w:p>
            <w:r>
              <w:rPr/>
              <w:t>20</w:t>
            </w:r>
          </w:p>
        </w:tc>
        <w:tc>
          <w:tcPr>
            <w:tcW w:type="dxa" w:w="5814"/>
          </w:tcPr>
          <w:p>
            <w:r>
              <w:rPr>
                <w:sz w:val="24"/>
              </w:rPr>
              <w:t>电致发光效率测量方法：一台仪器两种测量方法，光谱法和</w:t>
            </w:r>
            <w:r>
              <w:rPr>
                <w:sz w:val="24"/>
              </w:rPr>
              <w:t>P</w:t>
            </w:r>
            <w:r>
              <w:rPr>
                <w:sz w:val="24"/>
              </w:rPr>
              <w:t>D</w:t>
            </w:r>
            <w:r>
              <w:rPr>
                <w:sz w:val="24"/>
              </w:rPr>
              <w:t>法</w:t>
            </w:r>
          </w:p>
        </w:tc>
      </w:tr>
      <w:tr>
        <w:tc>
          <w:tcPr>
            <w:tcW w:type="dxa" w:w="2076"/>
          </w:tcPr>
          <w:p/>
        </w:tc>
        <w:tc>
          <w:tcPr>
            <w:tcW w:type="dxa" w:w="415"/>
          </w:tcPr>
          <w:p>
            <w:r>
              <w:rPr/>
              <w:t>21</w:t>
            </w:r>
          </w:p>
        </w:tc>
        <w:tc>
          <w:tcPr>
            <w:tcW w:type="dxa" w:w="5814"/>
          </w:tcPr>
          <w:p>
            <w:r>
              <w:rPr>
                <w:sz w:val="24"/>
              </w:rPr>
              <w:t>源表：最大可测量</w:t>
            </w:r>
            <w:r>
              <w:rPr>
                <w:sz w:val="24"/>
              </w:rPr>
              <w:t>200 V的电压和1 A的电流，输出功率20W。</w:t>
            </w:r>
          </w:p>
          <w:p>
            <w:r>
              <w:rPr>
                <w:sz w:val="24"/>
              </w:rPr>
              <w:t>四象限工作</w:t>
            </w:r>
            <w:r>
              <w:rPr>
                <w:sz w:val="24"/>
              </w:rPr>
              <w:t>≤0.012%的精确度，5½的分辨率 ，可程控电流。</w:t>
            </w:r>
          </w:p>
        </w:tc>
      </w:tr>
      <w:tr>
        <w:tc>
          <w:tcPr>
            <w:tcW w:type="dxa" w:w="2076"/>
          </w:tcPr>
          <w:p/>
        </w:tc>
        <w:tc>
          <w:tcPr>
            <w:tcW w:type="dxa" w:w="415"/>
          </w:tcPr>
          <w:p>
            <w:r>
              <w:rPr/>
              <w:t>22</w:t>
            </w:r>
          </w:p>
        </w:tc>
        <w:tc>
          <w:tcPr>
            <w:tcW w:type="dxa" w:w="5814"/>
          </w:tcPr>
          <w:p>
            <w:r>
              <w:rPr>
                <w:sz w:val="24"/>
              </w:rPr>
              <w:t>软件功能：</w:t>
            </w:r>
            <w:r>
              <w:rPr>
                <w:sz w:val="24"/>
              </w:rPr>
              <w:t>PLQY，光致发光光谱，吸收，发光材料光致发光稳定性，散射激发扣除，EQE，电致发光光谱，峰值波长，中心波长，半高峰宽，亮度，光效，流明效率，光功率，颜色，显色指数，器件寿命测量（0-100%L终点设置），一键标定，双积分时间，适配多种源表（常用2400/2450）等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采购包2（高温材料合成炉）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合同生效60天内中标人完成货物安装调试并交付使用。</w:t>
            </w:r>
          </w:p>
        </w:tc>
      </w:tr>
      <w:tr>
        <w:tc>
          <w:tcPr>
            <w:tcW w:type="dxa" w:w="4153"/>
          </w:tcPr>
          <w:p>
            <w:r>
              <w:rPr/>
              <w:t>标的提供的地点</w:t>
            </w:r>
          </w:p>
        </w:tc>
        <w:tc>
          <w:tcPr>
            <w:tcW w:type="dxa" w:w="4153"/>
          </w:tcPr>
          <w:p/>
          <w:p>
            <w:r>
              <w:rPr/>
              <w:t>广东工业大学大学城校区物理与光电工程学院指定地点。</w:t>
            </w:r>
          </w:p>
        </w:tc>
      </w:tr>
      <w:tr>
        <w:tc>
          <w:tcPr>
            <w:tcW w:type="dxa" w:w="4153"/>
          </w:tcPr>
          <w:p>
            <w:r>
              <w:rPr/>
              <w:t>付款方式</w:t>
            </w:r>
          </w:p>
        </w:tc>
        <w:tc>
          <w:tcPr>
            <w:tcW w:type="dxa" w:w="4153"/>
          </w:tcPr>
          <w:p/>
          <w:p/>
          <w:p>
            <w:r>
              <w:rPr/>
              <w:t>1期：支付比例60%,★合同生效后，采购人按相关规定向中标人支付60%的合同货款作为预付款。</w:t>
            </w:r>
          </w:p>
          <w:p/>
          <w:p>
            <w:r>
              <w:rPr/>
              <w:t>2期：支付比例40%,★货物安装调试完毕，经采购人、中标人双方对货物进行验收合格并完成交付后，中标人开具全额增值税专用发票给采购人作为报账凭证。收到报账凭证后，采购人按其规章制度办理支付手续向中标人支付剩余40%的合同货款。</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采购人、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其他，（一）货物质量要求 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中标人提供的货物必须是原厂原装全新正版产品（含零部件、配件、随机工具等），包装外观完好、表面无划伤无破损、附件齐全，整机无污染、无任何缺陷隐患，序列号、包装箱号与出厂批号一致，并可追索查阅。国内货物则必须具备出厂合格证，所有货物在中国境内可依常规安全合法使用。 3.★中标人对提供的货物提供1年的质量保证期。货物在质量保证期内被证明有缺陷，包括内在缺陷或使用不适当原材料，中标人应予退换货。 （二）到货检验、安装与调试 1.货物送到采购人指定地点后，采购人中标人双方代表同时在场时才能开箱检验。 2.采购人中标人双方就货物进行的检验包括但不限于名称、品牌、规格、型号、产地、数量外在可视参数。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3.除非采购人另有通知，中标人应按照合同的要求以及合同执行计划的时间安排，派出足够的人员进行现场安装和调试工作，并承担货物安装调试过程所产生的一切费用和责任直到验收合格。 4.中标人必须依照招标文件的要求和投标文件的承诺，将货物安装并调试至正常运行的最佳状态。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 （三）培训及售后服务 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2.所有货物保修期为1年，中标人提供免费1年上门保修服务和系统维护，中标人不再收取任何费用，保修期自采购人中标人双方代表在货物安装调试后的验收证明文件上签字之日起计算。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其他仪器仪表</w:t>
            </w:r>
          </w:p>
        </w:tc>
        <w:tc>
          <w:tcPr>
            <w:tcW w:type="dxa" w:w="831"/>
          </w:tcPr>
          <w:p>
            <w:pPr>
              <w:jc w:val="left"/>
            </w:pPr>
            <w:r>
              <w:rPr/>
              <w:t>高温材料合成炉</w:t>
            </w:r>
          </w:p>
        </w:tc>
        <w:tc>
          <w:tcPr>
            <w:tcW w:type="dxa" w:w="831"/>
          </w:tcPr>
          <w:p>
            <w:pPr>
              <w:jc w:val="left"/>
            </w:pPr>
            <w:r>
              <w:rPr/>
              <w:t>台</w:t>
            </w:r>
          </w:p>
        </w:tc>
        <w:tc>
          <w:tcPr>
            <w:tcW w:type="dxa" w:w="831"/>
          </w:tcPr>
          <w:p>
            <w:pPr>
              <w:jc w:val="right"/>
            </w:pPr>
            <w:r>
              <w:rPr/>
              <w:t>1.00</w:t>
            </w:r>
          </w:p>
        </w:tc>
        <w:tc>
          <w:tcPr>
            <w:tcW w:type="dxa" w:w="831"/>
          </w:tcPr>
          <w:p>
            <w:pPr>
              <w:jc w:val="right"/>
            </w:pPr>
            <w:r>
              <w:rPr/>
              <w:t>210,000.00</w:t>
            </w:r>
          </w:p>
        </w:tc>
        <w:tc>
          <w:tcPr>
            <w:tcW w:type="dxa" w:w="831"/>
          </w:tcPr>
          <w:p>
            <w:pPr>
              <w:jc w:val="right"/>
            </w:pPr>
            <w:r>
              <w:rPr/>
              <w:t>210,000.00</w:t>
            </w:r>
          </w:p>
        </w:tc>
        <w:tc>
          <w:tcPr>
            <w:tcW w:type="dxa" w:w="831"/>
          </w:tcPr>
          <w:p>
            <w:r>
              <w:rPr/>
              <w:t>工业</w:t>
            </w:r>
          </w:p>
        </w:tc>
        <w:tc>
          <w:tcPr>
            <w:tcW w:type="dxa" w:w="831"/>
          </w:tcPr>
          <w:p>
            <w:r>
              <w:rPr/>
              <w:t>详见附表一</w:t>
            </w:r>
          </w:p>
        </w:tc>
      </w:tr>
    </w:tbl>
    <w:p/>
    <w:p>
      <w:r>
        <w:rPr>
          <w:b/>
        </w:rPr>
        <w:t>附表</w:t>
      </w:r>
      <w:r>
        <w:rPr>
          <w:b/>
        </w:rPr>
        <w:t>一</w:t>
      </w:r>
      <w:r>
        <w:rPr>
          <w:b/>
        </w:rPr>
        <w:t>：</w:t>
      </w:r>
      <w:r>
        <w:rPr>
          <w:b/>
        </w:rPr>
        <w:t>高温材料合成炉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4"/>
              </w:rPr>
              <w:t>双温区</w:t>
            </w:r>
            <w:r>
              <w:rPr>
                <w:sz w:val="24"/>
              </w:rPr>
              <w:t>PECVD系统，组成部分为500W的射频电源，双炉体管式炉、流量控制系统、预热炉和真空系统。以电阻丝为加热元件，采用双层客体结构和50段程序控温，K型热电偶，炉膛采用高纯氧化铝纤维材料，此款设备可用于生长纳米线或用CVD方法来制备各种薄膜</w:t>
            </w:r>
            <w:r>
              <w:rPr>
                <w:sz w:val="24"/>
              </w:rPr>
              <w:t>；</w:t>
            </w:r>
          </w:p>
        </w:tc>
      </w:tr>
      <w:tr>
        <w:tc>
          <w:tcPr>
            <w:tcW w:type="dxa" w:w="2076"/>
          </w:tcPr>
          <w:p/>
        </w:tc>
        <w:tc>
          <w:tcPr>
            <w:tcW w:type="dxa" w:w="415"/>
          </w:tcPr>
          <w:p>
            <w:r>
              <w:rPr/>
              <w:t>2</w:t>
            </w:r>
          </w:p>
        </w:tc>
        <w:tc>
          <w:tcPr>
            <w:tcW w:type="dxa" w:w="5814"/>
          </w:tcPr>
          <w:p>
            <w:r>
              <w:rPr>
                <w:sz w:val="24"/>
              </w:rPr>
              <w:t>炉子的底部安装有一对滑轨，可手动使炉子从炉管的一侧滑动到另一侧，以实现快速加热和快速冷却</w:t>
            </w:r>
            <w:r>
              <w:rPr>
                <w:sz w:val="24"/>
              </w:rPr>
              <w:t>；</w:t>
            </w:r>
          </w:p>
        </w:tc>
      </w:tr>
      <w:tr>
        <w:tc>
          <w:tcPr>
            <w:tcW w:type="dxa" w:w="2076"/>
          </w:tcPr>
          <w:p>
            <w:r>
              <w:rPr/>
              <w:t>★</w:t>
            </w:r>
          </w:p>
        </w:tc>
        <w:tc>
          <w:tcPr>
            <w:tcW w:type="dxa" w:w="415"/>
          </w:tcPr>
          <w:p>
            <w:r>
              <w:rPr/>
              <w:t>3</w:t>
            </w:r>
          </w:p>
        </w:tc>
        <w:tc>
          <w:tcPr>
            <w:tcW w:type="dxa" w:w="5814"/>
          </w:tcPr>
          <w:p>
            <w:r>
              <w:rPr>
                <w:sz w:val="24"/>
              </w:rPr>
              <w:t>可视化运行状态监控，设定和状态显示都集中在一个</w:t>
            </w:r>
            <w:r>
              <w:rPr>
                <w:color w:val="000000"/>
                <w:sz w:val="24"/>
              </w:rPr>
              <w:t>≥</w:t>
            </w:r>
            <w:r>
              <w:rPr>
                <w:sz w:val="24"/>
              </w:rPr>
              <w:t>6"的LCD触摸屏上，便于操控的同时，可实时查看曲线和数据</w:t>
            </w:r>
            <w:r>
              <w:rPr>
                <w:sz w:val="24"/>
              </w:rPr>
              <w:t>；</w:t>
            </w:r>
          </w:p>
        </w:tc>
      </w:tr>
      <w:tr>
        <w:tc>
          <w:tcPr>
            <w:tcW w:type="dxa" w:w="2076"/>
          </w:tcPr>
          <w:p/>
        </w:tc>
        <w:tc>
          <w:tcPr>
            <w:tcW w:type="dxa" w:w="415"/>
          </w:tcPr>
          <w:p>
            <w:r>
              <w:rPr/>
              <w:t>4</w:t>
            </w:r>
          </w:p>
        </w:tc>
        <w:tc>
          <w:tcPr>
            <w:tcW w:type="dxa" w:w="5814"/>
          </w:tcPr>
          <w:p>
            <w:r>
              <w:rPr>
                <w:sz w:val="24"/>
              </w:rPr>
              <w:t>最高温度可达</w:t>
            </w:r>
            <w:r>
              <w:rPr>
                <w:color w:val="000000"/>
                <w:sz w:val="24"/>
              </w:rPr>
              <w:t>≥</w:t>
            </w:r>
            <w:r>
              <w:rPr>
                <w:sz w:val="24"/>
              </w:rPr>
              <w:t>1200℃</w:t>
            </w:r>
            <w:r>
              <w:rPr>
                <w:sz w:val="24"/>
              </w:rPr>
              <w:t>；</w:t>
            </w:r>
          </w:p>
        </w:tc>
      </w:tr>
      <w:tr>
        <w:tc>
          <w:tcPr>
            <w:tcW w:type="dxa" w:w="2076"/>
          </w:tcPr>
          <w:p/>
        </w:tc>
        <w:tc>
          <w:tcPr>
            <w:tcW w:type="dxa" w:w="415"/>
          </w:tcPr>
          <w:p>
            <w:r>
              <w:rPr/>
              <w:t>5</w:t>
            </w:r>
          </w:p>
        </w:tc>
        <w:tc>
          <w:tcPr>
            <w:tcW w:type="dxa" w:w="5814"/>
          </w:tcPr>
          <w:p>
            <w:r>
              <w:rPr>
                <w:sz w:val="24"/>
              </w:rPr>
              <w:t>双层壳体结构，并带有风冷系统，可有效降低壳体表面温度</w:t>
            </w:r>
            <w:r>
              <w:rPr>
                <w:sz w:val="24"/>
              </w:rPr>
              <w:t>；</w:t>
            </w:r>
          </w:p>
        </w:tc>
      </w:tr>
      <w:tr>
        <w:tc>
          <w:tcPr>
            <w:tcW w:type="dxa" w:w="2076"/>
          </w:tcPr>
          <w:p/>
        </w:tc>
        <w:tc>
          <w:tcPr>
            <w:tcW w:type="dxa" w:w="415"/>
          </w:tcPr>
          <w:p>
            <w:r>
              <w:rPr/>
              <w:t>6</w:t>
            </w:r>
          </w:p>
        </w:tc>
        <w:tc>
          <w:tcPr>
            <w:tcW w:type="dxa" w:w="5814"/>
          </w:tcPr>
          <w:p>
            <w:r>
              <w:rPr>
                <w:sz w:val="24"/>
              </w:rPr>
              <w:t>内炉膛表面涂有高温氧化铝涂层可以提高设备的加热效率，同时也可以延长仪器的使用寿命</w:t>
            </w:r>
            <w:r>
              <w:rPr>
                <w:sz w:val="24"/>
              </w:rPr>
              <w:t>；</w:t>
            </w:r>
          </w:p>
        </w:tc>
      </w:tr>
      <w:tr>
        <w:tc>
          <w:tcPr>
            <w:tcW w:type="dxa" w:w="2076"/>
          </w:tcPr>
          <w:p/>
        </w:tc>
        <w:tc>
          <w:tcPr>
            <w:tcW w:type="dxa" w:w="415"/>
          </w:tcPr>
          <w:p>
            <w:r>
              <w:rPr/>
              <w:t>7</w:t>
            </w:r>
          </w:p>
        </w:tc>
        <w:tc>
          <w:tcPr>
            <w:tcW w:type="dxa" w:w="5814"/>
          </w:tcPr>
          <w:p>
            <w:r>
              <w:rPr>
                <w:sz w:val="24"/>
              </w:rPr>
              <w:t>开门断电，提高实验安全性</w:t>
            </w:r>
            <w:r>
              <w:rPr>
                <w:sz w:val="24"/>
              </w:rPr>
              <w:t>；</w:t>
            </w:r>
          </w:p>
        </w:tc>
      </w:tr>
      <w:tr>
        <w:tc>
          <w:tcPr>
            <w:tcW w:type="dxa" w:w="2076"/>
          </w:tcPr>
          <w:p/>
        </w:tc>
        <w:tc>
          <w:tcPr>
            <w:tcW w:type="dxa" w:w="415"/>
          </w:tcPr>
          <w:p>
            <w:r>
              <w:rPr/>
              <w:t>8</w:t>
            </w:r>
          </w:p>
        </w:tc>
        <w:tc>
          <w:tcPr>
            <w:tcW w:type="dxa" w:w="5814"/>
          </w:tcPr>
          <w:p>
            <w:r>
              <w:rPr>
                <w:sz w:val="24"/>
              </w:rPr>
              <w:t>额定功率：</w:t>
            </w:r>
            <w:r>
              <w:rPr>
                <w:color w:val="000000"/>
                <w:sz w:val="24"/>
              </w:rPr>
              <w:t>≥</w:t>
            </w:r>
            <w:r>
              <w:rPr>
                <w:sz w:val="24"/>
              </w:rPr>
              <w:t>3KW</w:t>
            </w:r>
            <w:r>
              <w:rPr>
                <w:sz w:val="24"/>
              </w:rPr>
              <w:t>；</w:t>
            </w:r>
          </w:p>
        </w:tc>
      </w:tr>
      <w:tr>
        <w:tc>
          <w:tcPr>
            <w:tcW w:type="dxa" w:w="2076"/>
          </w:tcPr>
          <w:p/>
        </w:tc>
        <w:tc>
          <w:tcPr>
            <w:tcW w:type="dxa" w:w="415"/>
          </w:tcPr>
          <w:p>
            <w:r>
              <w:rPr/>
              <w:t>9</w:t>
            </w:r>
          </w:p>
        </w:tc>
        <w:tc>
          <w:tcPr>
            <w:tcW w:type="dxa" w:w="5814"/>
          </w:tcPr>
          <w:p>
            <w:r>
              <w:rPr>
                <w:sz w:val="24"/>
              </w:rPr>
              <w:t>智能化仪表，</w:t>
            </w:r>
            <w:r>
              <w:rPr>
                <w:sz w:val="24"/>
              </w:rPr>
              <w:t>PID控制，</w:t>
            </w:r>
            <w:r>
              <w:rPr>
                <w:color w:val="000000"/>
                <w:sz w:val="24"/>
              </w:rPr>
              <w:t>≥</w:t>
            </w:r>
            <w:r>
              <w:rPr>
                <w:sz w:val="24"/>
              </w:rPr>
              <w:t>50段程序控温</w:t>
            </w:r>
            <w:r>
              <w:rPr>
                <w:sz w:val="24"/>
              </w:rPr>
              <w:t>；</w:t>
            </w:r>
          </w:p>
        </w:tc>
      </w:tr>
      <w:tr>
        <w:tc>
          <w:tcPr>
            <w:tcW w:type="dxa" w:w="2076"/>
          </w:tcPr>
          <w:p/>
        </w:tc>
        <w:tc>
          <w:tcPr>
            <w:tcW w:type="dxa" w:w="415"/>
          </w:tcPr>
          <w:p>
            <w:r>
              <w:rPr/>
              <w:t>10</w:t>
            </w:r>
          </w:p>
        </w:tc>
        <w:tc>
          <w:tcPr>
            <w:tcW w:type="dxa" w:w="5814"/>
          </w:tcPr>
          <w:p>
            <w:r>
              <w:rPr>
                <w:sz w:val="24"/>
              </w:rPr>
              <w:t>高纯石英管，</w:t>
            </w:r>
            <w:r>
              <w:rPr>
                <w:color w:val="000000"/>
                <w:sz w:val="24"/>
              </w:rPr>
              <w:t>≥</w:t>
            </w:r>
            <w:r>
              <w:rPr>
                <w:sz w:val="24"/>
              </w:rPr>
              <w:t>60mm外径x</w:t>
            </w:r>
            <w:r>
              <w:rPr>
                <w:color w:val="000000"/>
                <w:sz w:val="24"/>
              </w:rPr>
              <w:t>≥</w:t>
            </w:r>
            <w:r>
              <w:rPr>
                <w:sz w:val="24"/>
              </w:rPr>
              <w:t>1800mm长</w:t>
            </w:r>
            <w:r>
              <w:rPr>
                <w:sz w:val="24"/>
              </w:rPr>
              <w:t>；</w:t>
            </w:r>
          </w:p>
        </w:tc>
      </w:tr>
      <w:tr>
        <w:tc>
          <w:tcPr>
            <w:tcW w:type="dxa" w:w="2076"/>
          </w:tcPr>
          <w:p/>
        </w:tc>
        <w:tc>
          <w:tcPr>
            <w:tcW w:type="dxa" w:w="415"/>
          </w:tcPr>
          <w:p>
            <w:r>
              <w:rPr/>
              <w:t>11</w:t>
            </w:r>
          </w:p>
        </w:tc>
        <w:tc>
          <w:tcPr>
            <w:tcW w:type="dxa" w:w="5814"/>
          </w:tcPr>
          <w:p>
            <w:r>
              <w:rPr>
                <w:sz w:val="24"/>
              </w:rPr>
              <w:t>镀铬钢制成的双滑轨，滑轨长度：</w:t>
            </w:r>
            <w:r>
              <w:rPr>
                <w:color w:val="000000"/>
                <w:sz w:val="24"/>
              </w:rPr>
              <w:t>≥</w:t>
            </w:r>
            <w:r>
              <w:rPr>
                <w:sz w:val="24"/>
              </w:rPr>
              <w:t>1900毫米</w:t>
            </w:r>
            <w:r>
              <w:rPr>
                <w:sz w:val="24"/>
              </w:rPr>
              <w:t>；</w:t>
            </w:r>
          </w:p>
        </w:tc>
      </w:tr>
      <w:tr>
        <w:tc>
          <w:tcPr>
            <w:tcW w:type="dxa" w:w="2076"/>
          </w:tcPr>
          <w:p/>
        </w:tc>
        <w:tc>
          <w:tcPr>
            <w:tcW w:type="dxa" w:w="415"/>
          </w:tcPr>
          <w:p>
            <w:r>
              <w:rPr/>
              <w:t>12</w:t>
            </w:r>
          </w:p>
        </w:tc>
        <w:tc>
          <w:tcPr>
            <w:tcW w:type="dxa" w:w="5814"/>
          </w:tcPr>
          <w:p>
            <w:r>
              <w:rPr>
                <w:sz w:val="24"/>
              </w:rPr>
              <w:t>最大升温速率：</w:t>
            </w:r>
            <w:r>
              <w:rPr>
                <w:sz w:val="24"/>
              </w:rPr>
              <w:t>≤ 10°C/min</w:t>
            </w:r>
            <w:r>
              <w:rPr>
                <w:sz w:val="24"/>
              </w:rPr>
              <w:t>；</w:t>
            </w:r>
          </w:p>
        </w:tc>
      </w:tr>
      <w:tr>
        <w:tc>
          <w:tcPr>
            <w:tcW w:type="dxa" w:w="2076"/>
          </w:tcPr>
          <w:p/>
        </w:tc>
        <w:tc>
          <w:tcPr>
            <w:tcW w:type="dxa" w:w="415"/>
          </w:tcPr>
          <w:p>
            <w:r>
              <w:rPr/>
              <w:t>13</w:t>
            </w:r>
          </w:p>
        </w:tc>
        <w:tc>
          <w:tcPr>
            <w:tcW w:type="dxa" w:w="5814"/>
          </w:tcPr>
          <w:p>
            <w:r>
              <w:rPr>
                <w:sz w:val="24"/>
              </w:rPr>
              <w:t>预热系统：最</w:t>
            </w:r>
            <w:r>
              <w:rPr>
                <w:sz w:val="24"/>
              </w:rPr>
              <w:t>高温度：</w:t>
            </w:r>
            <w:r>
              <w:rPr>
                <w:color w:val="000000"/>
                <w:sz w:val="24"/>
              </w:rPr>
              <w:t>≥</w:t>
            </w:r>
            <w:r>
              <w:rPr>
                <w:sz w:val="24"/>
              </w:rPr>
              <w:t>1200℃，连续工作温度：</w:t>
            </w:r>
            <w:r>
              <w:rPr>
                <w:color w:val="000000"/>
                <w:sz w:val="24"/>
              </w:rPr>
              <w:t>≥</w:t>
            </w:r>
            <w:r>
              <w:rPr>
                <w:sz w:val="24"/>
              </w:rPr>
              <w:t>1100℃，加热区：</w:t>
            </w:r>
            <w:r>
              <w:rPr>
                <w:color w:val="000000"/>
                <w:sz w:val="24"/>
              </w:rPr>
              <w:t>≥</w:t>
            </w:r>
            <w:r>
              <w:rPr>
                <w:sz w:val="24"/>
              </w:rPr>
              <w:t>200mm</w:t>
            </w:r>
            <w:r>
              <w:rPr>
                <w:sz w:val="24"/>
              </w:rPr>
              <w:t>；</w:t>
            </w:r>
          </w:p>
        </w:tc>
      </w:tr>
      <w:tr>
        <w:tc>
          <w:tcPr>
            <w:tcW w:type="dxa" w:w="2076"/>
          </w:tcPr>
          <w:p/>
        </w:tc>
        <w:tc>
          <w:tcPr>
            <w:tcW w:type="dxa" w:w="415"/>
          </w:tcPr>
          <w:p>
            <w:r>
              <w:rPr/>
              <w:t>14</w:t>
            </w:r>
          </w:p>
        </w:tc>
        <w:tc>
          <w:tcPr>
            <w:tcW w:type="dxa" w:w="5814"/>
          </w:tcPr>
          <w:p>
            <w:r>
              <w:rPr>
                <w:sz w:val="24"/>
              </w:rPr>
              <w:t>加热系统：</w:t>
            </w:r>
            <w:r>
              <w:rPr>
                <w:sz w:val="24"/>
              </w:rPr>
              <w:t>最高温度：</w:t>
            </w:r>
            <w:r>
              <w:rPr>
                <w:color w:val="000000"/>
                <w:sz w:val="24"/>
              </w:rPr>
              <w:t>≥</w:t>
            </w:r>
            <w:r>
              <w:rPr>
                <w:sz w:val="24"/>
              </w:rPr>
              <w:t>1200℃，连续工作温度：</w:t>
            </w:r>
            <w:r>
              <w:rPr>
                <w:color w:val="000000"/>
                <w:sz w:val="24"/>
              </w:rPr>
              <w:t>≥</w:t>
            </w:r>
            <w:r>
              <w:rPr>
                <w:sz w:val="24"/>
              </w:rPr>
              <w:t>1100℃，加热区：</w:t>
            </w:r>
            <w:r>
              <w:rPr>
                <w:color w:val="000000"/>
                <w:sz w:val="24"/>
              </w:rPr>
              <w:t>≥</w:t>
            </w:r>
            <w:r>
              <w:rPr>
                <w:sz w:val="24"/>
              </w:rPr>
              <w:t>200mm</w:t>
            </w:r>
            <w:r>
              <w:rPr>
                <w:sz w:val="24"/>
              </w:rPr>
              <w:t>；</w:t>
            </w:r>
          </w:p>
        </w:tc>
      </w:tr>
      <w:tr>
        <w:tc>
          <w:tcPr>
            <w:tcW w:type="dxa" w:w="2076"/>
          </w:tcPr>
          <w:p>
            <w:r>
              <w:rPr/>
              <w:t>★</w:t>
            </w:r>
          </w:p>
        </w:tc>
        <w:tc>
          <w:tcPr>
            <w:tcW w:type="dxa" w:w="415"/>
          </w:tcPr>
          <w:p>
            <w:r>
              <w:rPr/>
              <w:t>15</w:t>
            </w:r>
          </w:p>
        </w:tc>
        <w:tc>
          <w:tcPr>
            <w:tcW w:type="dxa" w:w="5814"/>
          </w:tcPr>
          <w:p>
            <w:r>
              <w:rPr>
                <w:sz w:val="24"/>
              </w:rPr>
              <w:t>等离子发射源：输出功率：</w:t>
            </w:r>
            <w:r>
              <w:rPr>
                <w:sz w:val="24"/>
              </w:rPr>
              <w:t>5 -500W±1% 射频频率：</w:t>
            </w:r>
            <w:r>
              <w:rPr>
                <w:color w:val="000000"/>
                <w:sz w:val="24"/>
              </w:rPr>
              <w:t>≥</w:t>
            </w:r>
            <w:r>
              <w:rPr>
                <w:sz w:val="24"/>
              </w:rPr>
              <w:t>12 MHz反射功率：最大</w:t>
            </w:r>
            <w:r>
              <w:rPr>
                <w:color w:val="000000"/>
                <w:sz w:val="24"/>
              </w:rPr>
              <w:t>≥</w:t>
            </w:r>
            <w:r>
              <w:rPr>
                <w:sz w:val="24"/>
              </w:rPr>
              <w:t>200W 冷却：风冷</w:t>
            </w:r>
            <w:r>
              <w:rPr>
                <w:sz w:val="24"/>
              </w:rPr>
              <w:t>；</w:t>
            </w:r>
          </w:p>
        </w:tc>
      </w:tr>
      <w:tr>
        <w:tc>
          <w:tcPr>
            <w:tcW w:type="dxa" w:w="2076"/>
          </w:tcPr>
          <w:p/>
        </w:tc>
        <w:tc>
          <w:tcPr>
            <w:tcW w:type="dxa" w:w="415"/>
          </w:tcPr>
          <w:p>
            <w:r>
              <w:rPr/>
              <w:t>16</w:t>
            </w:r>
          </w:p>
        </w:tc>
        <w:tc>
          <w:tcPr>
            <w:tcW w:type="dxa" w:w="5814"/>
          </w:tcPr>
          <w:p>
            <w:r>
              <w:rPr>
                <w:sz w:val="24"/>
              </w:rPr>
              <w:t>真空泵机组：前级泵无油真空泵，不锈钢波纹管，手动挡板阀与法兰，真空泵相连，管内真空可达抽气速率：</w:t>
            </w:r>
            <w:r>
              <w:rPr>
                <w:color w:val="000000"/>
                <w:sz w:val="24"/>
              </w:rPr>
              <w:t>≥</w:t>
            </w:r>
            <w:r>
              <w:rPr>
                <w:sz w:val="24"/>
              </w:rPr>
              <w:t>120L/min  极限压强：</w:t>
            </w:r>
            <w:r>
              <w:rPr>
                <w:color w:val="000000"/>
                <w:sz w:val="24"/>
              </w:rPr>
              <w:t>≥</w:t>
            </w:r>
            <w:r>
              <w:rPr>
                <w:sz w:val="24"/>
              </w:rPr>
              <w:t>5×10</w:t>
            </w:r>
            <w:r>
              <w:rPr>
                <w:sz w:val="24"/>
                <w:vertAlign w:val="superscript"/>
              </w:rPr>
              <w:t>-3</w:t>
            </w:r>
            <w:r>
              <w:rPr>
                <w:sz w:val="24"/>
              </w:rPr>
              <w:t>mba</w:t>
            </w:r>
            <w:r>
              <w:rPr>
                <w:sz w:val="24"/>
              </w:rPr>
              <w:t>；</w:t>
            </w:r>
          </w:p>
        </w:tc>
      </w:tr>
      <w:tr>
        <w:tc>
          <w:tcPr>
            <w:tcW w:type="dxa" w:w="2076"/>
          </w:tcPr>
          <w:p/>
        </w:tc>
        <w:tc>
          <w:tcPr>
            <w:tcW w:type="dxa" w:w="415"/>
          </w:tcPr>
          <w:p>
            <w:r>
              <w:rPr/>
              <w:t>17</w:t>
            </w:r>
          </w:p>
        </w:tc>
        <w:tc>
          <w:tcPr>
            <w:tcW w:type="dxa" w:w="5814"/>
          </w:tcPr>
          <w:p>
            <w:r>
              <w:rPr>
                <w:sz w:val="24"/>
              </w:rPr>
              <w:t>流量控制系统：</w:t>
            </w:r>
            <w:r>
              <w:rPr>
                <w:sz w:val="24"/>
              </w:rPr>
              <w:t>四个精密的质量流量计，精度</w:t>
            </w:r>
            <w:r>
              <w:rPr>
                <w:sz w:val="24"/>
              </w:rPr>
              <w:t>±</w:t>
            </w:r>
            <w:r>
              <w:rPr>
                <w:sz w:val="24"/>
              </w:rPr>
              <w:t>1</w:t>
            </w:r>
            <w:r>
              <w:rPr>
                <w:sz w:val="24"/>
              </w:rPr>
              <w:t>%</w:t>
            </w:r>
            <w:r>
              <w:rPr>
                <w:sz w:val="24"/>
              </w:rPr>
              <w:t>FS,重复精度±0.2%FS</w:t>
            </w:r>
            <w:r>
              <w:rPr>
                <w:sz w:val="24"/>
              </w:rPr>
              <w:t>，数字显示：</w:t>
            </w:r>
            <w:r>
              <w:rPr>
                <w:sz w:val="24"/>
              </w:rPr>
              <w:t>MFC 1范围: 0—100sccm，MFC 2和3: 0—200sccm ，MFC 4范围: 0—500sccm，机械压力表与混气罐：有一机械压力表安装在前面板上，与混气管相连接。压力表量程：-0.1—0.15MPa混气罐尺寸：</w:t>
            </w:r>
            <w:r>
              <w:rPr>
                <w:color w:val="000000"/>
                <w:sz w:val="24"/>
              </w:rPr>
              <w:t>≥</w:t>
            </w:r>
            <w:r>
              <w:rPr>
                <w:sz w:val="24"/>
              </w:rPr>
              <w:t>φ80*120mm通气管道与截止阀 :内部连接管道为1/4″不锈钢管和四氟管，外部连接管道为1/4″四氟管连接气瓶，控制阀门为316不锈钢双卡套角式穿板截止阀，外形尺寸：</w:t>
            </w:r>
            <w:r>
              <w:rPr>
                <w:color w:val="000000"/>
                <w:sz w:val="24"/>
              </w:rPr>
              <w:t>≥</w:t>
            </w:r>
            <w:r>
              <w:rPr>
                <w:sz w:val="24"/>
              </w:rPr>
              <w:t>长</w:t>
            </w:r>
            <w:r>
              <w:rPr>
                <w:sz w:val="24"/>
              </w:rPr>
              <w:t>600mm*宽745mm*高700mm；</w:t>
            </w:r>
          </w:p>
        </w:tc>
      </w:tr>
      <w:tr>
        <w:tc>
          <w:tcPr>
            <w:tcW w:type="dxa" w:w="2076"/>
          </w:tcPr>
          <w:p/>
        </w:tc>
        <w:tc>
          <w:tcPr>
            <w:tcW w:type="dxa" w:w="415"/>
          </w:tcPr>
          <w:p>
            <w:r>
              <w:rPr/>
              <w:t>18</w:t>
            </w:r>
          </w:p>
        </w:tc>
        <w:tc>
          <w:tcPr>
            <w:tcW w:type="dxa" w:w="5814"/>
          </w:tcPr>
          <w:p>
            <w:r>
              <w:rPr>
                <w:sz w:val="24"/>
              </w:rPr>
              <w:t>真空测量：陶瓷电容传感器和皮拉尼传感器组成，测量范围：</w:t>
            </w:r>
            <w:r>
              <w:rPr>
                <w:sz w:val="24"/>
              </w:rPr>
              <w:t>1.0*10</w:t>
            </w:r>
            <w:r>
              <w:rPr>
                <w:sz w:val="24"/>
                <w:vertAlign w:val="superscript"/>
              </w:rPr>
              <w:t>-1</w:t>
            </w:r>
            <w:r>
              <w:rPr>
                <w:sz w:val="24"/>
              </w:rPr>
              <w:t>Pa</w:t>
            </w:r>
            <w:r>
              <w:rPr>
                <w:sz w:val="24"/>
              </w:rPr>
              <w:t>—</w:t>
            </w:r>
            <w:r>
              <w:rPr>
                <w:sz w:val="24"/>
              </w:rPr>
              <w:t>1.0*105Pa 有效范围：1.0*100Pa</w:t>
            </w:r>
            <w:r>
              <w:rPr>
                <w:sz w:val="24"/>
              </w:rPr>
              <w:t>—</w:t>
            </w:r>
            <w:r>
              <w:rPr>
                <w:sz w:val="24"/>
              </w:rPr>
              <w:t>1.0*104Pa</w:t>
            </w:r>
          </w:p>
          <w:p>
            <w:r>
              <w:rPr>
                <w:sz w:val="24"/>
              </w:rPr>
              <w:t>显示方式：</w:t>
            </w:r>
            <w:r>
              <w:rPr>
                <w:sz w:val="24"/>
              </w:rPr>
              <w:t>LCD数显，不需因测量气体种类不同而需要系数转换具有较高的精确度和重复性，响应时间较短(s30ms)。而且传感器上涂有防腐涂层，具有较强的抗腐蚀性</w:t>
            </w:r>
            <w:r>
              <w:rPr>
                <w:sz w:val="24"/>
              </w:rPr>
              <w:t>；</w:t>
            </w:r>
          </w:p>
        </w:tc>
      </w:tr>
      <w:tr>
        <w:tc>
          <w:tcPr>
            <w:tcW w:type="dxa" w:w="2076"/>
          </w:tcPr>
          <w:p/>
        </w:tc>
        <w:tc>
          <w:tcPr>
            <w:tcW w:type="dxa" w:w="415"/>
          </w:tcPr>
          <w:p>
            <w:r>
              <w:rPr/>
              <w:t>19</w:t>
            </w:r>
          </w:p>
        </w:tc>
        <w:tc>
          <w:tcPr>
            <w:tcW w:type="dxa" w:w="5814"/>
          </w:tcPr>
          <w:p>
            <w:r>
              <w:rPr>
                <w:sz w:val="24"/>
              </w:rPr>
              <w:t>带过电流过电压保护</w:t>
            </w:r>
            <w:r>
              <w:rPr>
                <w:sz w:val="24"/>
              </w:rPr>
              <w:t>漏电保护电气元件及电缆</w:t>
            </w:r>
            <w:r>
              <w:rPr>
                <w:sz w:val="24"/>
              </w:rPr>
              <w:t>；</w:t>
            </w:r>
          </w:p>
        </w:tc>
      </w:tr>
      <w:tr>
        <w:tc>
          <w:tcPr>
            <w:tcW w:type="dxa" w:w="2076"/>
          </w:tcPr>
          <w:p/>
        </w:tc>
        <w:tc>
          <w:tcPr>
            <w:tcW w:type="dxa" w:w="415"/>
          </w:tcPr>
          <w:p>
            <w:r>
              <w:rPr/>
              <w:t>20</w:t>
            </w:r>
          </w:p>
        </w:tc>
        <w:tc>
          <w:tcPr>
            <w:tcW w:type="dxa" w:w="5814"/>
          </w:tcPr>
          <w:p>
            <w:r>
              <w:rPr>
                <w:sz w:val="24"/>
              </w:rPr>
              <w:t>蓝牙电源控制器：控制仪器电源，通信方式：控制器应采用移动互联网技术，电压：</w:t>
            </w:r>
            <w:r>
              <w:rPr>
                <w:sz w:val="24"/>
              </w:rPr>
              <w:t>≥250V，电流：≥10A</w:t>
            </w:r>
            <w:r>
              <w:rPr>
                <w:sz w:val="24"/>
              </w:rPr>
              <w:t>；</w:t>
            </w:r>
          </w:p>
        </w:tc>
      </w:tr>
      <w:tr>
        <w:tc>
          <w:tcPr>
            <w:tcW w:type="dxa" w:w="2076"/>
          </w:tcPr>
          <w:p>
            <w:r>
              <w:rPr/>
              <w:t>★</w:t>
            </w:r>
          </w:p>
        </w:tc>
        <w:tc>
          <w:tcPr>
            <w:tcW w:type="dxa" w:w="415"/>
          </w:tcPr>
          <w:p>
            <w:r>
              <w:rPr/>
              <w:t>21</w:t>
            </w:r>
          </w:p>
        </w:tc>
        <w:tc>
          <w:tcPr>
            <w:tcW w:type="dxa" w:w="5814"/>
          </w:tcPr>
          <w:p>
            <w:r>
              <w:rPr>
                <w:sz w:val="24"/>
              </w:rPr>
              <w:t>为确保售后服务，投标人须承诺中标后提供的售后服务人员需提供厂家培训结业证书及技术人员的证书；（投标人投标时提供承诺函）</w:t>
            </w:r>
            <w:r>
              <w:rPr>
                <w:sz w:val="24"/>
              </w:rPr>
              <w:t>；</w:t>
            </w:r>
          </w:p>
        </w:tc>
      </w:tr>
      <w:tr>
        <w:tc>
          <w:tcPr>
            <w:tcW w:type="dxa" w:w="2076"/>
          </w:tcPr>
          <w:p/>
        </w:tc>
        <w:tc>
          <w:tcPr>
            <w:tcW w:type="dxa" w:w="415"/>
          </w:tcPr>
          <w:p>
            <w:r>
              <w:rPr/>
              <w:t>22</w:t>
            </w:r>
          </w:p>
        </w:tc>
        <w:tc>
          <w:tcPr>
            <w:tcW w:type="dxa" w:w="5814"/>
          </w:tcPr>
          <w:p>
            <w:r>
              <w:rPr>
                <w:sz w:val="24"/>
              </w:rPr>
              <w:t>铂铑电偶校准并提供曲线图做为实验依据；</w:t>
            </w:r>
          </w:p>
        </w:tc>
      </w:tr>
      <w:tr>
        <w:tc>
          <w:tcPr>
            <w:tcW w:type="dxa" w:w="2076"/>
          </w:tcPr>
          <w:p/>
        </w:tc>
        <w:tc>
          <w:tcPr>
            <w:tcW w:type="dxa" w:w="415"/>
          </w:tcPr>
          <w:p>
            <w:r>
              <w:rPr/>
              <w:t>23</w:t>
            </w:r>
          </w:p>
        </w:tc>
        <w:tc>
          <w:tcPr>
            <w:tcW w:type="dxa" w:w="5814"/>
          </w:tcPr>
          <w:p>
            <w:r>
              <w:rPr>
                <w:sz w:val="24"/>
              </w:rPr>
              <w:t>空气开关</w:t>
            </w:r>
            <w:r>
              <w:rPr>
                <w:sz w:val="24"/>
              </w:rPr>
              <w:t>32A</w:t>
            </w:r>
            <w:r>
              <w:rPr>
                <w:sz w:val="24"/>
              </w:rPr>
              <w:t>并现场布线安装</w:t>
            </w:r>
            <w:r>
              <w:rPr>
                <w:sz w:val="24"/>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采购包3（引线键合机）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合同生效60天内中标人完成货物安装调试并交付使用。</w:t>
            </w:r>
          </w:p>
        </w:tc>
      </w:tr>
      <w:tr>
        <w:tc>
          <w:tcPr>
            <w:tcW w:type="dxa" w:w="4153"/>
          </w:tcPr>
          <w:p>
            <w:r>
              <w:rPr/>
              <w:t>标的提供的地点</w:t>
            </w:r>
          </w:p>
        </w:tc>
        <w:tc>
          <w:tcPr>
            <w:tcW w:type="dxa" w:w="4153"/>
          </w:tcPr>
          <w:p/>
          <w:p>
            <w:r>
              <w:rPr/>
              <w:t>广东工业大学大学城校区物理与光电工程学院指定地点。</w:t>
            </w:r>
          </w:p>
        </w:tc>
      </w:tr>
      <w:tr>
        <w:tc>
          <w:tcPr>
            <w:tcW w:type="dxa" w:w="4153"/>
          </w:tcPr>
          <w:p>
            <w:r>
              <w:rPr/>
              <w:t>付款方式</w:t>
            </w:r>
          </w:p>
        </w:tc>
        <w:tc>
          <w:tcPr>
            <w:tcW w:type="dxa" w:w="4153"/>
          </w:tcPr>
          <w:p/>
          <w:p/>
          <w:p>
            <w:r>
              <w:rPr/>
              <w:t>1期：支付比例60%,★合同生效后，采购人按相关规定向中标人支付60%的合同货款作为预付款。</w:t>
            </w:r>
          </w:p>
          <w:p/>
          <w:p>
            <w:r>
              <w:rPr/>
              <w:t>2期：支付比例40%,★货物安装调试完毕，经采购人、中标人双方对货物进行验收合格并完成交付后，中标人开具全额增值税专用发票给采购人作为报账凭证。收到报账凭证后，采购人按其规章制度办理支付手续向中标人支付剩余40%的合同货款。</w:t>
            </w:r>
          </w:p>
        </w:tc>
      </w:tr>
      <w:tr>
        <w:tc>
          <w:tcPr>
            <w:tcW w:type="dxa" w:w="4153"/>
          </w:tcPr>
          <w:p>
            <w:r>
              <w:rPr/>
              <w:t>验收要求</w:t>
            </w:r>
          </w:p>
        </w:tc>
        <w:tc>
          <w:tcPr>
            <w:tcW w:type="dxa" w:w="4153"/>
          </w:tcPr>
          <w:p/>
          <w:p/>
          <w:p/>
          <w:p>
            <w:r>
              <w:rPr/>
              <w:t>1期：1.交付验收标准为：按本合同约定的货物及价格、详细配置清单及技术指标、符合采购文件和响应承诺中采购人认可的合理最佳配置、参数及各项要求、国家相关标准和行业规范进行验收（该等标准不一致的，以较高为准）。 2.验收流程按采购人规章制度执行，由采购人组成验收小组（含中标人人员）按国家有关规定、规范进行验收，必要时采购人可邀请相关的专业人员或机构参与验收。 3.货物安装调试完毕且正常运行后，中标人应向采购人提出书面验收申请，准备并向采购人提交验收文件，本合同项下的全部货物按采购人验收流程验收通过，经采购人、中标人双方签署验收合格证明后，视为验收合格。 4.验收合格后，中标人应将货物的用户手册、保修手册、有关单证资料及配备件、随机工具等交付给采购人，使用操作及安全须知等重要资料应附有中文说明。前述资料物品交付完毕当日，视为合同货物完成交付。</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其他，（一）货物质量要求 1.中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中标人提供的货物必须是原厂原装全新正版产品（含零部件、配件、随机工具等），包装外观完好、表面无划伤无破损、附件齐全，整机无污染、无任何缺陷隐患，序列号、包装箱号与出厂批号一致，并可追索查阅。国内货物则必须具备出厂合格证，所有货物在中国境内可依常规安全合法使用。 3.★中标人对提供的货物提供1年的质量保证期。货物在质量保证期内被证明有缺陷，包括内在缺陷或使用不适当原材料，中标人应予退换货。 （二）到货检验、安装与调试 1.货物送到采购人指定地点后，采购人中标人双方代表同时在场时才能开箱检验。 2.采购人中标人双方就货物进行的检验包括但不限于名称、品牌、规格、型号、产地、数量外在可视参数。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3.除非采购人另有通知，中标人应按照合同的要求以及合同执行计划的时间安排，派出足够的人员进行现场安装和调试工作，并承担货物安装调试过程所产生的一切费用和责任直到验收合格。 4.中标人必须依照招标文件的要求和投标文件的承诺，将货物安装并调试至正常运行的最佳状态。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 （三）培训及售后服务 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2.所有货物保修期为1年，中标人提供免费1年上门保修服务和系统维护，中标人不再收取任何费用，保修期自采购人中标人双方代表在货物安装调试后的验收证明文件上签字之日起计算。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5.货物（含软件类产品）故障报修的响应时间为2小时，且在8小时内（连同前面时间计算）到达现场，24 小时内处理完毕。规定时间内未处理完毕的，中标人在48小时内提供不低于同等档次的替代货物供用户使用至故障消除为止。</w:t>
            </w:r>
          </w:p>
        </w:tc>
      </w:tr>
    </w:tbl>
    <w:p>
      <w:r>
        <w:rPr>
          <w:b/>
        </w:rPr>
        <w:t>2.技术标准与要求</w:t>
      </w:r>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其他仪器仪表</w:t>
            </w:r>
          </w:p>
        </w:tc>
        <w:tc>
          <w:tcPr>
            <w:tcW w:type="dxa" w:w="831"/>
          </w:tcPr>
          <w:p>
            <w:pPr>
              <w:jc w:val="left"/>
            </w:pPr>
            <w:r>
              <w:rPr/>
              <w:t>引线键合机</w:t>
            </w:r>
          </w:p>
        </w:tc>
        <w:tc>
          <w:tcPr>
            <w:tcW w:type="dxa" w:w="831"/>
          </w:tcPr>
          <w:p>
            <w:pPr>
              <w:jc w:val="left"/>
            </w:pPr>
            <w:r>
              <w:rPr/>
              <w:t>台</w:t>
            </w:r>
          </w:p>
        </w:tc>
        <w:tc>
          <w:tcPr>
            <w:tcW w:type="dxa" w:w="831"/>
          </w:tcPr>
          <w:p>
            <w:pPr>
              <w:jc w:val="right"/>
            </w:pPr>
            <w:r>
              <w:rPr/>
              <w:t>1.00</w:t>
            </w:r>
          </w:p>
        </w:tc>
        <w:tc>
          <w:tcPr>
            <w:tcW w:type="dxa" w:w="831"/>
          </w:tcPr>
          <w:p>
            <w:pPr>
              <w:jc w:val="right"/>
            </w:pPr>
            <w:r>
              <w:rPr/>
              <w:t>230,000.00</w:t>
            </w:r>
          </w:p>
        </w:tc>
        <w:tc>
          <w:tcPr>
            <w:tcW w:type="dxa" w:w="831"/>
          </w:tcPr>
          <w:p>
            <w:pPr>
              <w:jc w:val="right"/>
            </w:pPr>
            <w:r>
              <w:rPr/>
              <w:t>230,000.00</w:t>
            </w:r>
          </w:p>
        </w:tc>
        <w:tc>
          <w:tcPr>
            <w:tcW w:type="dxa" w:w="831"/>
          </w:tcPr>
          <w:p>
            <w:r>
              <w:rPr/>
              <w:t>工业</w:t>
            </w:r>
          </w:p>
        </w:tc>
        <w:tc>
          <w:tcPr>
            <w:tcW w:type="dxa" w:w="831"/>
          </w:tcPr>
          <w:p>
            <w:r>
              <w:rPr/>
              <w:t>详见附表一</w:t>
            </w:r>
          </w:p>
        </w:tc>
      </w:tr>
    </w:tbl>
    <w:p/>
    <w:p>
      <w:r>
        <w:rPr>
          <w:b/>
        </w:rPr>
        <w:t>附表</w:t>
      </w:r>
      <w:r>
        <w:rPr>
          <w:b/>
        </w:rPr>
        <w:t>一</w:t>
      </w:r>
      <w:r>
        <w:rPr>
          <w:b/>
        </w:rPr>
        <w:t>：</w:t>
      </w:r>
      <w:r>
        <w:rPr>
          <w:b/>
        </w:rPr>
        <w:t>引线键合机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4"/>
              </w:rPr>
              <w:t>焊线种类：金丝（</w:t>
            </w:r>
            <w:r>
              <w:rPr>
                <w:sz w:val="24"/>
              </w:rPr>
              <w:t>18-75 um）、铂金丝（18-25 um）、银丝（18-50 um）</w:t>
            </w:r>
            <w:r>
              <w:rPr>
                <w:sz w:val="24"/>
              </w:rPr>
              <w:t>；</w:t>
            </w:r>
          </w:p>
        </w:tc>
      </w:tr>
      <w:tr>
        <w:tc>
          <w:tcPr>
            <w:tcW w:type="dxa" w:w="2076"/>
          </w:tcPr>
          <w:p/>
        </w:tc>
        <w:tc>
          <w:tcPr>
            <w:tcW w:type="dxa" w:w="415"/>
          </w:tcPr>
          <w:p>
            <w:r>
              <w:rPr/>
              <w:t>2</w:t>
            </w:r>
          </w:p>
        </w:tc>
        <w:tc>
          <w:tcPr>
            <w:tcW w:type="dxa" w:w="5814"/>
          </w:tcPr>
          <w:p>
            <w:r>
              <w:rPr>
                <w:sz w:val="24"/>
              </w:rPr>
              <w:t>90度线夹深腔引线键合</w:t>
            </w:r>
            <w:r>
              <w:rPr>
                <w:sz w:val="24"/>
              </w:rPr>
              <w:t>；</w:t>
            </w:r>
          </w:p>
        </w:tc>
      </w:tr>
      <w:tr>
        <w:tc>
          <w:tcPr>
            <w:tcW w:type="dxa" w:w="2076"/>
          </w:tcPr>
          <w:p>
            <w:r>
              <w:rPr/>
              <w:t>★</w:t>
            </w:r>
          </w:p>
        </w:tc>
        <w:tc>
          <w:tcPr>
            <w:tcW w:type="dxa" w:w="415"/>
          </w:tcPr>
          <w:p>
            <w:r>
              <w:rPr/>
              <w:t>3</w:t>
            </w:r>
          </w:p>
        </w:tc>
        <w:tc>
          <w:tcPr>
            <w:tcW w:type="dxa" w:w="5814"/>
          </w:tcPr>
          <w:p>
            <w:r>
              <w:rPr>
                <w:sz w:val="24"/>
              </w:rPr>
              <w:t>键合头</w:t>
            </w:r>
            <w:r>
              <w:rPr>
                <w:sz w:val="24"/>
              </w:rPr>
              <w:t>Z向行程：19mm，X-Y范围：15mm×15mm</w:t>
            </w:r>
            <w:r>
              <w:rPr>
                <w:sz w:val="24"/>
              </w:rPr>
              <w:t>；</w:t>
            </w:r>
          </w:p>
        </w:tc>
      </w:tr>
      <w:tr>
        <w:tc>
          <w:tcPr>
            <w:tcW w:type="dxa" w:w="2076"/>
          </w:tcPr>
          <w:p/>
        </w:tc>
        <w:tc>
          <w:tcPr>
            <w:tcW w:type="dxa" w:w="415"/>
          </w:tcPr>
          <w:p>
            <w:r>
              <w:rPr/>
              <w:t>4</w:t>
            </w:r>
          </w:p>
        </w:tc>
        <w:tc>
          <w:tcPr>
            <w:tcW w:type="dxa" w:w="5814"/>
          </w:tcPr>
          <w:p>
            <w:r>
              <w:rPr>
                <w:sz w:val="24"/>
              </w:rPr>
              <w:t>升降台</w:t>
            </w:r>
            <w:r>
              <w:rPr>
                <w:sz w:val="24"/>
              </w:rPr>
              <w:t>Z向行程：19mm，X-Y范围：268mm×273mm；超声波功率</w:t>
            </w:r>
            <w:r>
              <w:rPr>
                <w:color w:val="000000"/>
                <w:sz w:val="18"/>
              </w:rPr>
              <w:t>≥</w:t>
            </w:r>
            <w:r>
              <w:rPr>
                <w:sz w:val="24"/>
              </w:rPr>
              <w:t>5W，1000倍细分</w:t>
            </w:r>
            <w:r>
              <w:rPr>
                <w:sz w:val="24"/>
              </w:rPr>
              <w:t>；</w:t>
            </w:r>
          </w:p>
        </w:tc>
      </w:tr>
      <w:tr>
        <w:tc>
          <w:tcPr>
            <w:tcW w:type="dxa" w:w="2076"/>
          </w:tcPr>
          <w:p/>
        </w:tc>
        <w:tc>
          <w:tcPr>
            <w:tcW w:type="dxa" w:w="415"/>
          </w:tcPr>
          <w:p>
            <w:r>
              <w:rPr/>
              <w:t>5</w:t>
            </w:r>
          </w:p>
        </w:tc>
        <w:tc>
          <w:tcPr>
            <w:tcW w:type="dxa" w:w="5814"/>
          </w:tcPr>
          <w:p>
            <w:r>
              <w:rPr>
                <w:sz w:val="24"/>
              </w:rPr>
              <w:t>高低超声功率一键切换，适配高低频换能器</w:t>
            </w:r>
            <w:r>
              <w:rPr>
                <w:sz w:val="24"/>
              </w:rPr>
              <w:t>；</w:t>
            </w:r>
          </w:p>
        </w:tc>
      </w:tr>
      <w:tr>
        <w:tc>
          <w:tcPr>
            <w:tcW w:type="dxa" w:w="2076"/>
          </w:tcPr>
          <w:p/>
        </w:tc>
        <w:tc>
          <w:tcPr>
            <w:tcW w:type="dxa" w:w="415"/>
          </w:tcPr>
          <w:p>
            <w:r>
              <w:rPr/>
              <w:t>6</w:t>
            </w:r>
          </w:p>
        </w:tc>
        <w:tc>
          <w:tcPr>
            <w:tcW w:type="dxa" w:w="5814"/>
          </w:tcPr>
          <w:p>
            <w:r>
              <w:rPr>
                <w:sz w:val="24"/>
              </w:rPr>
              <w:t>高清体式显微镜一套，可</w:t>
            </w:r>
            <w:r>
              <w:rPr>
                <w:sz w:val="24"/>
              </w:rPr>
              <w:t>0.8-4倍连续变焦，物镜放大倍数15倍</w:t>
            </w:r>
            <w:r>
              <w:rPr>
                <w:sz w:val="24"/>
              </w:rPr>
              <w:t>；</w:t>
            </w:r>
          </w:p>
        </w:tc>
      </w:tr>
      <w:tr>
        <w:tc>
          <w:tcPr>
            <w:tcW w:type="dxa" w:w="2076"/>
          </w:tcPr>
          <w:p/>
        </w:tc>
        <w:tc>
          <w:tcPr>
            <w:tcW w:type="dxa" w:w="415"/>
          </w:tcPr>
          <w:p>
            <w:r>
              <w:rPr/>
              <w:t>7</w:t>
            </w:r>
          </w:p>
        </w:tc>
        <w:tc>
          <w:tcPr>
            <w:tcW w:type="dxa" w:w="5814"/>
          </w:tcPr>
          <w:p>
            <w:r>
              <w:rPr>
                <w:sz w:val="24"/>
              </w:rPr>
              <w:t>支持零线尾植球</w:t>
            </w:r>
            <w:r>
              <w:rPr>
                <w:sz w:val="24"/>
              </w:rPr>
              <w:t>；</w:t>
            </w:r>
          </w:p>
        </w:tc>
      </w:tr>
      <w:tr>
        <w:tc>
          <w:tcPr>
            <w:tcW w:type="dxa" w:w="2076"/>
          </w:tcPr>
          <w:p/>
        </w:tc>
        <w:tc>
          <w:tcPr>
            <w:tcW w:type="dxa" w:w="415"/>
          </w:tcPr>
          <w:p>
            <w:r>
              <w:rPr/>
              <w:t>8</w:t>
            </w:r>
          </w:p>
        </w:tc>
        <w:tc>
          <w:tcPr>
            <w:tcW w:type="dxa" w:w="5814"/>
          </w:tcPr>
          <w:p>
            <w:r>
              <w:rPr>
                <w:sz w:val="24"/>
              </w:rPr>
              <w:t>DSP锁相，超声波稳定输出</w:t>
            </w:r>
            <w:r>
              <w:rPr>
                <w:sz w:val="24"/>
              </w:rPr>
              <w:t>；</w:t>
            </w:r>
          </w:p>
        </w:tc>
      </w:tr>
      <w:tr>
        <w:tc>
          <w:tcPr>
            <w:tcW w:type="dxa" w:w="2076"/>
          </w:tcPr>
          <w:p/>
        </w:tc>
        <w:tc>
          <w:tcPr>
            <w:tcW w:type="dxa" w:w="415"/>
          </w:tcPr>
          <w:p>
            <w:r>
              <w:rPr/>
              <w:t>9</w:t>
            </w:r>
          </w:p>
        </w:tc>
        <w:tc>
          <w:tcPr>
            <w:tcW w:type="dxa" w:w="5814"/>
          </w:tcPr>
          <w:p>
            <w:r>
              <w:rPr>
                <w:sz w:val="24"/>
              </w:rPr>
              <w:t>全设备电驱动方式不需要压缩空气，中文触摸屏程序控制</w:t>
            </w:r>
            <w:r>
              <w:rPr>
                <w:sz w:val="24"/>
              </w:rPr>
              <w:t>；</w:t>
            </w:r>
          </w:p>
        </w:tc>
      </w:tr>
      <w:tr>
        <w:tc>
          <w:tcPr>
            <w:tcW w:type="dxa" w:w="2076"/>
          </w:tcPr>
          <w:p>
            <w:r>
              <w:rPr/>
              <w:t>▲</w:t>
            </w:r>
          </w:p>
        </w:tc>
        <w:tc>
          <w:tcPr>
            <w:tcW w:type="dxa" w:w="415"/>
          </w:tcPr>
          <w:p>
            <w:r>
              <w:rPr/>
              <w:t>10</w:t>
            </w:r>
          </w:p>
        </w:tc>
        <w:tc>
          <w:tcPr>
            <w:tcW w:type="dxa" w:w="5814"/>
          </w:tcPr>
          <w:p>
            <w:r>
              <w:rPr>
                <w:sz w:val="24"/>
              </w:rPr>
              <w:t>采用音圈电机压力闭合控制，压力范围</w:t>
            </w:r>
            <w:r>
              <w:rPr>
                <w:sz w:val="24"/>
              </w:rPr>
              <w:t>1-250g，1g分辨率，精确调节，在线可编程</w:t>
            </w:r>
            <w:r>
              <w:rPr>
                <w:sz w:val="24"/>
              </w:rPr>
              <w:t>；</w:t>
            </w:r>
          </w:p>
        </w:tc>
      </w:tr>
      <w:tr>
        <w:tc>
          <w:tcPr>
            <w:tcW w:type="dxa" w:w="2076"/>
          </w:tcPr>
          <w:p/>
        </w:tc>
        <w:tc>
          <w:tcPr>
            <w:tcW w:type="dxa" w:w="415"/>
          </w:tcPr>
          <w:p>
            <w:r>
              <w:rPr/>
              <w:t>11</w:t>
            </w:r>
          </w:p>
        </w:tc>
        <w:tc>
          <w:tcPr>
            <w:tcW w:type="dxa" w:w="5814"/>
          </w:tcPr>
          <w:p>
            <w:r>
              <w:rPr>
                <w:sz w:val="24"/>
              </w:rPr>
              <w:t>键合手柄锁紧功能，防碰撞</w:t>
            </w:r>
            <w:r>
              <w:rPr>
                <w:sz w:val="24"/>
              </w:rPr>
              <w:t>；</w:t>
            </w:r>
          </w:p>
        </w:tc>
      </w:tr>
      <w:tr>
        <w:tc>
          <w:tcPr>
            <w:tcW w:type="dxa" w:w="2076"/>
          </w:tcPr>
          <w:p/>
        </w:tc>
        <w:tc>
          <w:tcPr>
            <w:tcW w:type="dxa" w:w="415"/>
          </w:tcPr>
          <w:p>
            <w:r>
              <w:rPr/>
              <w:t>12</w:t>
            </w:r>
          </w:p>
        </w:tc>
        <w:tc>
          <w:tcPr>
            <w:tcW w:type="dxa" w:w="5814"/>
          </w:tcPr>
          <w:p>
            <w:r>
              <w:rPr>
                <w:sz w:val="24"/>
              </w:rPr>
              <w:t>一二焊点参数可以独立设置</w:t>
            </w:r>
            <w:r>
              <w:rPr>
                <w:sz w:val="24"/>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1.采购代理机构：本项目是指广东国和采购咨询有限公司，负责整个采购活动的组织，依法负责编制和发布招标文件，对招标文件拥有最终的解释权，不以任何身份出任评标委员会成员。</w:t>
      </w:r>
    </w:p>
    <w:p>
      <w:pPr>
        <w:ind w:firstLine="480"/>
      </w:pPr>
      <w:r>
        <w:rPr/>
        <w:t>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3</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采购包1：保证金人民币：5,000.00元整。</w:t>
            </w:r>
            <w:r>
              <w:rPr/>
              <w:t>采购包2：保证金人民币：4,000.00元整。</w:t>
            </w:r>
            <w:r>
              <w:rPr/>
              <w:t>采购包3：保证金人民币：4,500.00元整。</w:t>
            </w:r>
          </w:p>
          <w:p>
            <w:r>
              <w:rPr/>
              <w:t>开户单位：</w:t>
            </w:r>
            <w:r>
              <w:rPr/>
              <w:t>广东国和采购咨询有限公司</w:t>
            </w:r>
          </w:p>
          <w:p>
            <w:r>
              <w:rPr/>
              <w:t>开户账号：</w:t>
            </w:r>
            <w:r>
              <w:rPr/>
              <w:t>800239372409017</w:t>
            </w:r>
          </w:p>
          <w:p>
            <w:r>
              <w:rPr/>
              <w:t>开户银行：</w:t>
            </w:r>
            <w:r>
              <w:rPr/>
              <w:t>广州银行永福支行</w:t>
            </w:r>
          </w:p>
          <w:p>
            <w:r>
              <w:rPr/>
              <w:t>支票提交方式：</w:t>
            </w:r>
            <w:r>
              <w:rPr/>
              <w:t>/</w:t>
            </w:r>
          </w:p>
          <w:p>
            <w:r>
              <w:rPr/>
              <w:t>汇票、本票提交方式：</w:t>
            </w:r>
            <w:r>
              <w:rPr/>
              <w:t>/</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p>
            <w:r>
              <w:rPr/>
              <w:t>采购包3：</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1.代理服务费币种与中标通知书的中标金额的币种相同；2.中标人在收到中标通知书前应向采购代理机构交纳代理服务费；3.代理服务费以各包组中标通知书中确定的中标金额为计算基准，参照国家发展计划委员会颁发的[2002]1980号文《招标代理服务收费管理暂行办法》规定的标准费率下浮20%计取；注：每个包组代理服务费不足6000元的按6000元收取。4.招标代理服务费请划入：开户行：中国建设银行广州永福支行；账户名称：广东国和采购咨询有限公司；账号：44001490907053002754；5.如中标人不按照招标文件规定交纳代理服务费，其投标保证金将不予退还。中标人在领取中标通知书后，无论因何种原因撤回、放弃中标或无法履行合同的，其已交的代理服务费均不予退还。</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其他，（1）提交纸质投标文件时，保证金汇款底单须单独提交； （2）在单据摘要（或备注） 处清晰填写项目编号、包组号（如有），以便核对相关信息。例如：缴款凭证备注：1371-2341GDGH1332保证金。</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p>
            <w:pPr>
              <w:jc w:val="left"/>
            </w:pPr>
            <w:r>
              <w:rPr/>
              <w:t>采购包2：面向中小企业，采购包专门预留</w:t>
            </w:r>
          </w:p>
          <w:p>
            <w:pPr>
              <w:jc w:val="left"/>
            </w:pPr>
            <w:r>
              <w:rPr/>
              <w:t>采购包3：面向中小企业，采购包专门预留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广东国和采购咨询有限公司</w:t>
      </w:r>
      <w:r>
        <w:rPr/>
        <w:t>代收。具体操作要求详见</w:t>
      </w:r>
      <w:r>
        <w:rPr/>
        <w:t>广东国和采购咨询有限公司</w:t>
      </w:r>
      <w:r>
        <w:rPr/>
        <w:t>有关指引，递交事宜请自行咨询</w:t>
      </w:r>
      <w:r>
        <w:rPr/>
        <w:t>广东国和采购咨询有限公司</w:t>
      </w:r>
      <w:r>
        <w:rPr/>
        <w:t>；请各投标人在投标文件递交截止时间前按须知前附表规定的金额递交至</w:t>
      </w:r>
      <w:r>
        <w:rPr/>
        <w:t>广东国和采购咨询有限公司</w:t>
      </w:r>
      <w:r>
        <w:rPr/>
        <w:t>，到账情况以开标时</w:t>
      </w:r>
      <w:r>
        <w:rPr/>
        <w:t>广东国和采购咨询有限公司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广东国和采购咨询有限公司（www.zgguohe.com）。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广东国和采购咨询有限公司（www.zgguohe.com）。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020-37625255</w:t>
      </w:r>
    </w:p>
    <w:p>
      <w:pPr>
        <w:ind w:firstLine="480"/>
      </w:pPr>
      <w:r>
        <w:rPr/>
        <w:t>传真：</w:t>
      </w:r>
      <w:r>
        <w:rPr/>
        <w:t>020-37625228</w:t>
      </w:r>
    </w:p>
    <w:p>
      <w:pPr>
        <w:ind w:firstLine="480"/>
      </w:pPr>
      <w:r>
        <w:rPr/>
        <w:t>邮箱：</w:t>
      </w:r>
      <w:r>
        <w:rPr/>
        <w:t>ghzxgz@163.com</w:t>
      </w:r>
    </w:p>
    <w:p>
      <w:pPr>
        <w:ind w:firstLine="480"/>
      </w:pPr>
      <w:r>
        <w:rPr/>
        <w:t>地址：</w:t>
      </w:r>
      <w:r>
        <w:rPr/>
        <w:t>广州市越秀区先烈中路102号华盛大厦北塔18楼</w:t>
      </w:r>
    </w:p>
    <w:p>
      <w:pPr>
        <w:ind w:firstLine="480"/>
      </w:pPr>
      <w:r>
        <w:rPr/>
        <w:t>邮编：</w:t>
      </w:r>
      <w:r>
        <w:rPr/>
        <w:t>510075</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采购包1(荧光量子效率测量系统)：综合评分法,是指投标文件满足招标文件全部实质性要求，且按照评审因素的量化指标评审得分最高的投标人为中标候选人的评标方法。（最低报价不是中标的唯一依据。）</w:t>
      </w:r>
    </w:p>
    <w:p/>
    <w:p>
      <w:r>
        <w:rPr/>
        <w:t>采购包2(高温材料合成炉)：综合评分法,是指投标文件满足招标文件全部实质性要求，且按照评审因素的量化指标评审得分最高的投标人为中标候选人的评标方法。（最低报价不是中标的唯一依据。）</w:t>
      </w:r>
    </w:p>
    <w:p/>
    <w:p>
      <w:r>
        <w:rPr/>
        <w:t>采购包3(引线键合机)：综合评分法,是指投标文件满足招标文件全部实质性要求，且按照评审因素的量化指标评审得分最高的投标人为中标候选人的评标方法。（最低报价不是中标的唯一依据。）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广东国和采购咨询有限公司</w:t>
      </w:r>
      <w:r>
        <w:rPr/>
        <w:t>统一对外发布。</w:t>
      </w:r>
    </w:p>
    <w:p>
      <w:pPr>
        <w:ind w:firstLine="480"/>
      </w:pPr>
      <w:r>
        <w:rPr/>
        <w:t>（2）对</w:t>
      </w:r>
      <w:r>
        <w:rPr/>
        <w:t>广东国和采购咨询有限公司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采购包1（荧光量子效率测量系统）：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采购包2（高温材料合成炉）：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采购包3（引线键合机）：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采购包1（荧光量子效率测量系统）：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本项目不接受联合体投标。</w:t>
            </w:r>
          </w:p>
        </w:tc>
      </w:tr>
      <w:tr>
        <w:tc>
          <w:tcPr>
            <w:tcW w:type="dxa" w:w="890"/>
          </w:tcPr>
          <w:p>
            <w:r>
              <w:rPr/>
              <w:t>9</w:t>
            </w:r>
          </w:p>
        </w:tc>
        <w:tc>
          <w:tcPr>
            <w:tcW w:type="dxa" w:w="3178"/>
          </w:tcPr>
          <w:p>
            <w:r>
              <w:rPr/>
              <w:t>特定资格要求</w:t>
            </w:r>
          </w:p>
        </w:tc>
        <w:tc>
          <w:tcPr>
            <w:tcW w:type="dxa" w:w="4238"/>
          </w:tcPr>
          <w:p>
            <w:r>
              <w:rPr/>
              <w:t>已在云平台系统参与本项目并获取招标文件。</w:t>
            </w:r>
          </w:p>
        </w:tc>
      </w:tr>
      <w:tr>
        <w:tc>
          <w:tcPr>
            <w:tcW w:type="dxa" w:w="890"/>
          </w:tcPr>
          <w:p>
            <w:r>
              <w:rPr/>
              <w:t>10</w:t>
            </w:r>
          </w:p>
        </w:tc>
        <w:tc>
          <w:tcPr>
            <w:tcW w:type="dxa" w:w="3178"/>
          </w:tcPr>
          <w:p>
            <w:r>
              <w:rPr/>
              <w:t>本采购包专门面向中小企业采购</w:t>
            </w:r>
          </w:p>
        </w:tc>
        <w:tc>
          <w:tcPr>
            <w:tcW w:type="dxa" w:w="4238"/>
          </w:tcPr>
          <w:p>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 2）采购包整体专门面向中小企业，货物全部由符合政策要求的中小企业制造，该中小企业须符合本项目采购标的对应行业（本项目行业为：工业）的政策划分标准（监狱企业、残疾人福利性单位视同小微企业）。中小企业以供应商填写的《中小企业声明函》（见投标文件格式）为判定标准；残疾人福利性单位以供应商提供的《残疾人福利性单位声明函》（见投标文件格式）为判定标准；监狱企业须提供由省级以上监狱管理局、戒毒管理局（含新疆生产建设兵团）出具的属于监狱企业的证明文件，否则不予认定。</w:t>
            </w:r>
          </w:p>
        </w:tc>
      </w:tr>
    </w:tbl>
    <w:p/>
    <w:p>
      <w:r>
        <w:rPr/>
        <w:t>采购包2（高温材料合成炉）：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本项目不接受联合体投标。</w:t>
            </w:r>
          </w:p>
        </w:tc>
      </w:tr>
      <w:tr>
        <w:tc>
          <w:tcPr>
            <w:tcW w:type="dxa" w:w="890"/>
          </w:tcPr>
          <w:p>
            <w:r>
              <w:rPr/>
              <w:t>9</w:t>
            </w:r>
          </w:p>
        </w:tc>
        <w:tc>
          <w:tcPr>
            <w:tcW w:type="dxa" w:w="3178"/>
          </w:tcPr>
          <w:p>
            <w:r>
              <w:rPr/>
              <w:t>特定资格要求</w:t>
            </w:r>
          </w:p>
        </w:tc>
        <w:tc>
          <w:tcPr>
            <w:tcW w:type="dxa" w:w="4238"/>
          </w:tcPr>
          <w:p>
            <w:r>
              <w:rPr/>
              <w:t>已在云平台系统参与本项目并获取招标文件。</w:t>
            </w:r>
          </w:p>
        </w:tc>
      </w:tr>
      <w:tr>
        <w:tc>
          <w:tcPr>
            <w:tcW w:type="dxa" w:w="890"/>
          </w:tcPr>
          <w:p>
            <w:r>
              <w:rPr/>
              <w:t>10</w:t>
            </w:r>
          </w:p>
        </w:tc>
        <w:tc>
          <w:tcPr>
            <w:tcW w:type="dxa" w:w="3178"/>
          </w:tcPr>
          <w:p>
            <w:r>
              <w:rPr/>
              <w:t>本采购包专门面向中小企业采购</w:t>
            </w:r>
          </w:p>
        </w:tc>
        <w:tc>
          <w:tcPr>
            <w:tcW w:type="dxa" w:w="4238"/>
          </w:tcPr>
          <w:p>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 2）采购包整体专门面向中小企业，货物全部由符合政策要求的中小企业制造，该中小企业须符合本项目采购标的对应行业（本项目行业为：工业）的政策划分标准（监狱企业、残疾人福利性单位视同小微企业）。中小企业以供应商填写的《中小企业声明函》（见投标文件格式）为判定标准；残疾人福利性单位以供应商提供的《残疾人福利性单位声明函》（见投标文件格式）为判定标准；监狱企业须提供由省级以上监狱管理局、戒毒管理局（含新疆生产建设兵团）出具的属于监狱企业的证明文件，否则不予认定。</w:t>
            </w:r>
          </w:p>
        </w:tc>
      </w:tr>
    </w:tbl>
    <w:p/>
    <w:p>
      <w:r>
        <w:rPr/>
        <w:t>采购包3（引线键合机）：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本项目不接受联合体投标。</w:t>
            </w:r>
          </w:p>
        </w:tc>
      </w:tr>
      <w:tr>
        <w:tc>
          <w:tcPr>
            <w:tcW w:type="dxa" w:w="890"/>
          </w:tcPr>
          <w:p>
            <w:r>
              <w:rPr/>
              <w:t>9</w:t>
            </w:r>
          </w:p>
        </w:tc>
        <w:tc>
          <w:tcPr>
            <w:tcW w:type="dxa" w:w="3178"/>
          </w:tcPr>
          <w:p>
            <w:r>
              <w:rPr/>
              <w:t>特定资格要求</w:t>
            </w:r>
          </w:p>
        </w:tc>
        <w:tc>
          <w:tcPr>
            <w:tcW w:type="dxa" w:w="4238"/>
          </w:tcPr>
          <w:p>
            <w:r>
              <w:rPr/>
              <w:t>已在云平台系统参与本项目并获取招标文件。</w:t>
            </w:r>
          </w:p>
        </w:tc>
      </w:tr>
      <w:tr>
        <w:tc>
          <w:tcPr>
            <w:tcW w:type="dxa" w:w="890"/>
          </w:tcPr>
          <w:p>
            <w:r>
              <w:rPr/>
              <w:t>10</w:t>
            </w:r>
          </w:p>
        </w:tc>
        <w:tc>
          <w:tcPr>
            <w:tcW w:type="dxa" w:w="3178"/>
          </w:tcPr>
          <w:p>
            <w:r>
              <w:rPr/>
              <w:t>本采购包专门面向中小企业采购</w:t>
            </w:r>
          </w:p>
        </w:tc>
        <w:tc>
          <w:tcPr>
            <w:tcW w:type="dxa" w:w="4238"/>
          </w:tcPr>
          <w:p>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 2）采购包整体专门面向中小企业，货物全部由符合政策要求的中小企业制造，该中小企业须符合本项目采购标的对应行业（本项目行业为：工业）的政策划分标准（监狱企业、残疾人福利性单位视同小微企业）。中小企业以供应商填写的《中小企业声明函》（见投标文件格式）为判定标准；残疾人福利性单位以供应商提供的《残疾人福利性单位声明函》（见投标文件格式）为判定标准；监狱企业须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采购包1（荧光量子效率测量系统）：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按对应格式文件填写、签署、盖章</w:t>
            </w:r>
          </w:p>
        </w:tc>
      </w:tr>
      <w:tr>
        <w:tc>
          <w:tcPr>
            <w:tcW w:type="dxa" w:w="890"/>
          </w:tcPr>
          <w:p>
            <w:r>
              <w:rPr/>
              <w:t>2</w:t>
            </w:r>
          </w:p>
        </w:tc>
        <w:tc>
          <w:tcPr>
            <w:tcW w:type="dxa" w:w="3178"/>
          </w:tcPr>
          <w:p>
            <w:r>
              <w:rPr/>
              <w:t>投标保证金</w:t>
            </w:r>
          </w:p>
        </w:tc>
        <w:tc>
          <w:tcPr>
            <w:tcW w:type="dxa" w:w="4238"/>
          </w:tcPr>
          <w:p>
            <w:r>
              <w:rPr/>
              <w:t>已按招标文件要求提交投标保证金</w:t>
            </w:r>
          </w:p>
        </w:tc>
      </w:tr>
      <w:tr>
        <w:tc>
          <w:tcPr>
            <w:tcW w:type="dxa" w:w="890"/>
          </w:tcPr>
          <w:p>
            <w:r>
              <w:rPr/>
              <w:t>3</w:t>
            </w:r>
          </w:p>
        </w:tc>
        <w:tc>
          <w:tcPr>
            <w:tcW w:type="dxa" w:w="3178"/>
          </w:tcPr>
          <w:p>
            <w:r>
              <w:rPr/>
              <w:t>法定代表人（单位负责人）证明书及授权委托书</w:t>
            </w:r>
          </w:p>
        </w:tc>
        <w:tc>
          <w:tcPr>
            <w:tcW w:type="dxa" w:w="4238"/>
          </w:tcPr>
          <w:p>
            <w:r>
              <w:rPr/>
              <w:t>按对应格式文件签署、盖章</w:t>
            </w:r>
          </w:p>
        </w:tc>
      </w:tr>
      <w:tr>
        <w:tc>
          <w:tcPr>
            <w:tcW w:type="dxa" w:w="890"/>
          </w:tcPr>
          <w:p>
            <w:r>
              <w:rPr/>
              <w:t>4</w:t>
            </w:r>
          </w:p>
        </w:tc>
        <w:tc>
          <w:tcPr>
            <w:tcW w:type="dxa" w:w="3178"/>
          </w:tcPr>
          <w:p>
            <w:r>
              <w:rPr/>
              <w:t>报价要求</w:t>
            </w:r>
          </w:p>
        </w:tc>
        <w:tc>
          <w:tcPr>
            <w:tcW w:type="dxa" w:w="4238"/>
          </w:tcPr>
          <w:p>
            <w:r>
              <w:rPr/>
              <w:t>投标报价是固定价且是唯一的，各包组投标总价没有超出包组预算金额，且各项设备投标价没有超出各项设备单价最高限价</w:t>
            </w:r>
          </w:p>
        </w:tc>
      </w:tr>
      <w:tr>
        <w:tc>
          <w:tcPr>
            <w:tcW w:type="dxa" w:w="890"/>
          </w:tcPr>
          <w:p>
            <w:r>
              <w:rPr/>
              <w:t>5</w:t>
            </w:r>
          </w:p>
        </w:tc>
        <w:tc>
          <w:tcPr>
            <w:tcW w:type="dxa" w:w="3178"/>
          </w:tcPr>
          <w:p>
            <w:r>
              <w:rPr/>
              <w:t>没有报价漏项</w:t>
            </w:r>
          </w:p>
        </w:tc>
        <w:tc>
          <w:tcPr>
            <w:tcW w:type="dxa" w:w="4238"/>
          </w:tcPr>
          <w:p>
            <w:r>
              <w:rPr/>
              <w:t>对标的没有报价漏项</w:t>
            </w:r>
          </w:p>
        </w:tc>
      </w:tr>
      <w:tr>
        <w:tc>
          <w:tcPr>
            <w:tcW w:type="dxa" w:w="890"/>
          </w:tcPr>
          <w:p>
            <w:r>
              <w:rPr/>
              <w:t>6</w:t>
            </w:r>
          </w:p>
        </w:tc>
        <w:tc>
          <w:tcPr>
            <w:tcW w:type="dxa" w:w="3178"/>
          </w:tcPr>
          <w:p>
            <w:r>
              <w:rPr/>
              <w:t>投标文件的完整性</w:t>
            </w:r>
          </w:p>
        </w:tc>
        <w:tc>
          <w:tcPr>
            <w:tcW w:type="dxa" w:w="4238"/>
          </w:tcPr>
          <w:p>
            <w:r>
              <w:rPr/>
              <w:t>投标文件完整且编排有序，投标内容基本完整，无重大错漏</w:t>
            </w:r>
          </w:p>
        </w:tc>
      </w:tr>
      <w:tr>
        <w:tc>
          <w:tcPr>
            <w:tcW w:type="dxa" w:w="890"/>
          </w:tcPr>
          <w:p>
            <w:r>
              <w:rPr/>
              <w:t>7</w:t>
            </w:r>
          </w:p>
        </w:tc>
        <w:tc>
          <w:tcPr>
            <w:tcW w:type="dxa" w:w="3178"/>
          </w:tcPr>
          <w:p>
            <w:r>
              <w:rPr/>
              <w:t>投标有效期</w:t>
            </w:r>
          </w:p>
        </w:tc>
        <w:tc>
          <w:tcPr>
            <w:tcW w:type="dxa" w:w="4238"/>
          </w:tcPr>
          <w:p>
            <w:r>
              <w:rPr/>
              <w:t>投标截止日起90天</w:t>
            </w:r>
          </w:p>
        </w:tc>
      </w:tr>
      <w:tr>
        <w:tc>
          <w:tcPr>
            <w:tcW w:type="dxa" w:w="890"/>
          </w:tcPr>
          <w:p>
            <w:r>
              <w:rPr/>
              <w:t>8</w:t>
            </w:r>
          </w:p>
        </w:tc>
        <w:tc>
          <w:tcPr>
            <w:tcW w:type="dxa" w:w="3178"/>
          </w:tcPr>
          <w:p>
            <w:r>
              <w:rPr/>
              <w:t>带★条款</w:t>
            </w:r>
          </w:p>
        </w:tc>
        <w:tc>
          <w:tcPr>
            <w:tcW w:type="dxa" w:w="4238"/>
          </w:tcPr>
          <w:p>
            <w:r>
              <w:rPr/>
              <w:t>满足招标文件要求</w:t>
            </w:r>
          </w:p>
        </w:tc>
      </w:tr>
      <w:tr>
        <w:tc>
          <w:tcPr>
            <w:tcW w:type="dxa" w:w="890"/>
          </w:tcPr>
          <w:p>
            <w:r>
              <w:rPr/>
              <w:t>9</w:t>
            </w:r>
          </w:p>
        </w:tc>
        <w:tc>
          <w:tcPr>
            <w:tcW w:type="dxa" w:w="3178"/>
          </w:tcPr>
          <w:p>
            <w:r>
              <w:rPr/>
              <w:t>交货期</w:t>
            </w:r>
          </w:p>
        </w:tc>
        <w:tc>
          <w:tcPr>
            <w:tcW w:type="dxa" w:w="4238"/>
          </w:tcPr>
          <w:p>
            <w:r>
              <w:rPr/>
              <w:t>满足招标文件要求</w:t>
            </w:r>
          </w:p>
        </w:tc>
      </w:tr>
      <w:tr>
        <w:tc>
          <w:tcPr>
            <w:tcW w:type="dxa" w:w="890"/>
          </w:tcPr>
          <w:p>
            <w:r>
              <w:rPr/>
              <w:t>10</w:t>
            </w:r>
          </w:p>
        </w:tc>
        <w:tc>
          <w:tcPr>
            <w:tcW w:type="dxa" w:w="3178"/>
          </w:tcPr>
          <w:p>
            <w:r>
              <w:rPr/>
              <w:t>投标文件未含有采购人不可接受的附加条件</w:t>
            </w:r>
          </w:p>
        </w:tc>
        <w:tc>
          <w:tcPr>
            <w:tcW w:type="dxa" w:w="4238"/>
          </w:tcPr>
          <w:p>
            <w:r>
              <w:rPr/>
              <w:t>投标文件未含有采购人不可接受的附加条件</w:t>
            </w:r>
          </w:p>
        </w:tc>
      </w:tr>
      <w:tr>
        <w:tc>
          <w:tcPr>
            <w:tcW w:type="dxa" w:w="890"/>
          </w:tcPr>
          <w:p>
            <w:r>
              <w:rPr/>
              <w:t>11</w:t>
            </w:r>
          </w:p>
        </w:tc>
        <w:tc>
          <w:tcPr>
            <w:tcW w:type="dxa" w:w="3178"/>
          </w:tcPr>
          <w:p>
            <w:r>
              <w:rPr/>
              <w:t>其他</w:t>
            </w:r>
          </w:p>
        </w:tc>
        <w:tc>
          <w:tcPr>
            <w:tcW w:type="dxa" w:w="4238"/>
          </w:tcPr>
          <w:p>
            <w:r>
              <w:rPr/>
              <w:t>法律、法规和招标文件规定的其他无效情形</w:t>
            </w:r>
          </w:p>
        </w:tc>
      </w:tr>
    </w:tbl>
    <w:p/>
    <w:p>
      <w:r>
        <w:rPr/>
        <w:t>采购包2（高温材料合成炉）：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按对应格式文件填写、签署、盖章</w:t>
            </w:r>
          </w:p>
        </w:tc>
      </w:tr>
      <w:tr>
        <w:tc>
          <w:tcPr>
            <w:tcW w:type="dxa" w:w="890"/>
          </w:tcPr>
          <w:p>
            <w:r>
              <w:rPr/>
              <w:t>2</w:t>
            </w:r>
          </w:p>
        </w:tc>
        <w:tc>
          <w:tcPr>
            <w:tcW w:type="dxa" w:w="3178"/>
          </w:tcPr>
          <w:p>
            <w:r>
              <w:rPr/>
              <w:t>投标保证金</w:t>
            </w:r>
          </w:p>
        </w:tc>
        <w:tc>
          <w:tcPr>
            <w:tcW w:type="dxa" w:w="4238"/>
          </w:tcPr>
          <w:p>
            <w:r>
              <w:rPr/>
              <w:t>已按招标文件要求提交投标保证金</w:t>
            </w:r>
          </w:p>
        </w:tc>
      </w:tr>
      <w:tr>
        <w:tc>
          <w:tcPr>
            <w:tcW w:type="dxa" w:w="890"/>
          </w:tcPr>
          <w:p>
            <w:r>
              <w:rPr/>
              <w:t>3</w:t>
            </w:r>
          </w:p>
        </w:tc>
        <w:tc>
          <w:tcPr>
            <w:tcW w:type="dxa" w:w="3178"/>
          </w:tcPr>
          <w:p>
            <w:r>
              <w:rPr/>
              <w:t>法定代表人（单位负责人）证明书及授权委托书</w:t>
            </w:r>
          </w:p>
        </w:tc>
        <w:tc>
          <w:tcPr>
            <w:tcW w:type="dxa" w:w="4238"/>
          </w:tcPr>
          <w:p>
            <w:r>
              <w:rPr/>
              <w:t>按对应格式文件签署、盖章</w:t>
            </w:r>
          </w:p>
        </w:tc>
      </w:tr>
      <w:tr>
        <w:tc>
          <w:tcPr>
            <w:tcW w:type="dxa" w:w="890"/>
          </w:tcPr>
          <w:p>
            <w:r>
              <w:rPr/>
              <w:t>4</w:t>
            </w:r>
          </w:p>
        </w:tc>
        <w:tc>
          <w:tcPr>
            <w:tcW w:type="dxa" w:w="3178"/>
          </w:tcPr>
          <w:p>
            <w:r>
              <w:rPr/>
              <w:t>报价要求</w:t>
            </w:r>
          </w:p>
        </w:tc>
        <w:tc>
          <w:tcPr>
            <w:tcW w:type="dxa" w:w="4238"/>
          </w:tcPr>
          <w:p>
            <w:r>
              <w:rPr/>
              <w:t>投标报价是固定价且是唯一的，各包组投标总价没有超出包组预算金额，且各项设备投标价没有超出各项设备单价最高限价</w:t>
            </w:r>
          </w:p>
        </w:tc>
      </w:tr>
      <w:tr>
        <w:tc>
          <w:tcPr>
            <w:tcW w:type="dxa" w:w="890"/>
          </w:tcPr>
          <w:p>
            <w:r>
              <w:rPr/>
              <w:t>5</w:t>
            </w:r>
          </w:p>
        </w:tc>
        <w:tc>
          <w:tcPr>
            <w:tcW w:type="dxa" w:w="3178"/>
          </w:tcPr>
          <w:p>
            <w:r>
              <w:rPr/>
              <w:t>没有报价漏项</w:t>
            </w:r>
          </w:p>
        </w:tc>
        <w:tc>
          <w:tcPr>
            <w:tcW w:type="dxa" w:w="4238"/>
          </w:tcPr>
          <w:p>
            <w:r>
              <w:rPr/>
              <w:t>对标的没有报价漏项</w:t>
            </w:r>
          </w:p>
        </w:tc>
      </w:tr>
      <w:tr>
        <w:tc>
          <w:tcPr>
            <w:tcW w:type="dxa" w:w="890"/>
          </w:tcPr>
          <w:p>
            <w:r>
              <w:rPr/>
              <w:t>6</w:t>
            </w:r>
          </w:p>
        </w:tc>
        <w:tc>
          <w:tcPr>
            <w:tcW w:type="dxa" w:w="3178"/>
          </w:tcPr>
          <w:p>
            <w:r>
              <w:rPr/>
              <w:t>投标文件的完整性</w:t>
            </w:r>
          </w:p>
        </w:tc>
        <w:tc>
          <w:tcPr>
            <w:tcW w:type="dxa" w:w="4238"/>
          </w:tcPr>
          <w:p>
            <w:r>
              <w:rPr/>
              <w:t>投标文件完整且编排有序，投标内容基本完整，无重大错漏</w:t>
            </w:r>
          </w:p>
        </w:tc>
      </w:tr>
      <w:tr>
        <w:tc>
          <w:tcPr>
            <w:tcW w:type="dxa" w:w="890"/>
          </w:tcPr>
          <w:p>
            <w:r>
              <w:rPr/>
              <w:t>7</w:t>
            </w:r>
          </w:p>
        </w:tc>
        <w:tc>
          <w:tcPr>
            <w:tcW w:type="dxa" w:w="3178"/>
          </w:tcPr>
          <w:p>
            <w:r>
              <w:rPr/>
              <w:t>投标有效期</w:t>
            </w:r>
          </w:p>
        </w:tc>
        <w:tc>
          <w:tcPr>
            <w:tcW w:type="dxa" w:w="4238"/>
          </w:tcPr>
          <w:p>
            <w:r>
              <w:rPr/>
              <w:t>投标截止日起90天</w:t>
            </w:r>
          </w:p>
        </w:tc>
      </w:tr>
      <w:tr>
        <w:tc>
          <w:tcPr>
            <w:tcW w:type="dxa" w:w="890"/>
          </w:tcPr>
          <w:p>
            <w:r>
              <w:rPr/>
              <w:t>8</w:t>
            </w:r>
          </w:p>
        </w:tc>
        <w:tc>
          <w:tcPr>
            <w:tcW w:type="dxa" w:w="3178"/>
          </w:tcPr>
          <w:p>
            <w:r>
              <w:rPr/>
              <w:t>带★条款</w:t>
            </w:r>
          </w:p>
        </w:tc>
        <w:tc>
          <w:tcPr>
            <w:tcW w:type="dxa" w:w="4238"/>
          </w:tcPr>
          <w:p>
            <w:r>
              <w:rPr/>
              <w:t>满足招标文件要求</w:t>
            </w:r>
          </w:p>
        </w:tc>
      </w:tr>
      <w:tr>
        <w:tc>
          <w:tcPr>
            <w:tcW w:type="dxa" w:w="890"/>
          </w:tcPr>
          <w:p>
            <w:r>
              <w:rPr/>
              <w:t>9</w:t>
            </w:r>
          </w:p>
        </w:tc>
        <w:tc>
          <w:tcPr>
            <w:tcW w:type="dxa" w:w="3178"/>
          </w:tcPr>
          <w:p>
            <w:r>
              <w:rPr/>
              <w:t>交货期</w:t>
            </w:r>
          </w:p>
        </w:tc>
        <w:tc>
          <w:tcPr>
            <w:tcW w:type="dxa" w:w="4238"/>
          </w:tcPr>
          <w:p>
            <w:r>
              <w:rPr/>
              <w:t>满足招标文件要求</w:t>
            </w:r>
          </w:p>
        </w:tc>
      </w:tr>
      <w:tr>
        <w:tc>
          <w:tcPr>
            <w:tcW w:type="dxa" w:w="890"/>
          </w:tcPr>
          <w:p>
            <w:r>
              <w:rPr/>
              <w:t>10</w:t>
            </w:r>
          </w:p>
        </w:tc>
        <w:tc>
          <w:tcPr>
            <w:tcW w:type="dxa" w:w="3178"/>
          </w:tcPr>
          <w:p>
            <w:r>
              <w:rPr/>
              <w:t>投标文件未含有采购人不可接受的附加条件</w:t>
            </w:r>
          </w:p>
        </w:tc>
        <w:tc>
          <w:tcPr>
            <w:tcW w:type="dxa" w:w="4238"/>
          </w:tcPr>
          <w:p>
            <w:r>
              <w:rPr/>
              <w:t>投标文件未含有采购人不可接受的附加条件</w:t>
            </w:r>
          </w:p>
        </w:tc>
      </w:tr>
      <w:tr>
        <w:tc>
          <w:tcPr>
            <w:tcW w:type="dxa" w:w="890"/>
          </w:tcPr>
          <w:p>
            <w:r>
              <w:rPr/>
              <w:t>11</w:t>
            </w:r>
          </w:p>
        </w:tc>
        <w:tc>
          <w:tcPr>
            <w:tcW w:type="dxa" w:w="3178"/>
          </w:tcPr>
          <w:p>
            <w:r>
              <w:rPr/>
              <w:t>其他</w:t>
            </w:r>
          </w:p>
        </w:tc>
        <w:tc>
          <w:tcPr>
            <w:tcW w:type="dxa" w:w="4238"/>
          </w:tcPr>
          <w:p>
            <w:r>
              <w:rPr/>
              <w:t>法律、法规和招标文件规定的其他无效情形</w:t>
            </w:r>
          </w:p>
        </w:tc>
      </w:tr>
    </w:tbl>
    <w:p/>
    <w:p>
      <w:r>
        <w:rPr/>
        <w:t>采购包3（引线键合机）：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按对应格式文件填写、签署、盖章</w:t>
            </w:r>
          </w:p>
        </w:tc>
      </w:tr>
      <w:tr>
        <w:tc>
          <w:tcPr>
            <w:tcW w:type="dxa" w:w="890"/>
          </w:tcPr>
          <w:p>
            <w:r>
              <w:rPr/>
              <w:t>2</w:t>
            </w:r>
          </w:p>
        </w:tc>
        <w:tc>
          <w:tcPr>
            <w:tcW w:type="dxa" w:w="3178"/>
          </w:tcPr>
          <w:p>
            <w:r>
              <w:rPr/>
              <w:t>投标保证金</w:t>
            </w:r>
          </w:p>
        </w:tc>
        <w:tc>
          <w:tcPr>
            <w:tcW w:type="dxa" w:w="4238"/>
          </w:tcPr>
          <w:p>
            <w:r>
              <w:rPr/>
              <w:t>已按招标文件要求提交投标保证金</w:t>
            </w:r>
          </w:p>
        </w:tc>
      </w:tr>
      <w:tr>
        <w:tc>
          <w:tcPr>
            <w:tcW w:type="dxa" w:w="890"/>
          </w:tcPr>
          <w:p>
            <w:r>
              <w:rPr/>
              <w:t>3</w:t>
            </w:r>
          </w:p>
        </w:tc>
        <w:tc>
          <w:tcPr>
            <w:tcW w:type="dxa" w:w="3178"/>
          </w:tcPr>
          <w:p>
            <w:r>
              <w:rPr/>
              <w:t>法定代表人（单位负责人）证明书及授权委托书</w:t>
            </w:r>
          </w:p>
        </w:tc>
        <w:tc>
          <w:tcPr>
            <w:tcW w:type="dxa" w:w="4238"/>
          </w:tcPr>
          <w:p>
            <w:r>
              <w:rPr/>
              <w:t>按对应格式文件签署、盖章</w:t>
            </w:r>
          </w:p>
        </w:tc>
      </w:tr>
      <w:tr>
        <w:tc>
          <w:tcPr>
            <w:tcW w:type="dxa" w:w="890"/>
          </w:tcPr>
          <w:p>
            <w:r>
              <w:rPr/>
              <w:t>4</w:t>
            </w:r>
          </w:p>
        </w:tc>
        <w:tc>
          <w:tcPr>
            <w:tcW w:type="dxa" w:w="3178"/>
          </w:tcPr>
          <w:p>
            <w:r>
              <w:rPr/>
              <w:t>报价要求</w:t>
            </w:r>
          </w:p>
        </w:tc>
        <w:tc>
          <w:tcPr>
            <w:tcW w:type="dxa" w:w="4238"/>
          </w:tcPr>
          <w:p>
            <w:r>
              <w:rPr/>
              <w:t>投标报价是固定价且是唯一的，各包组投标总价没有超出包组预算金额，且各项设备投标价没有超出各项设备单价最高限价</w:t>
            </w:r>
          </w:p>
        </w:tc>
      </w:tr>
      <w:tr>
        <w:tc>
          <w:tcPr>
            <w:tcW w:type="dxa" w:w="890"/>
          </w:tcPr>
          <w:p>
            <w:r>
              <w:rPr/>
              <w:t>5</w:t>
            </w:r>
          </w:p>
        </w:tc>
        <w:tc>
          <w:tcPr>
            <w:tcW w:type="dxa" w:w="3178"/>
          </w:tcPr>
          <w:p>
            <w:r>
              <w:rPr/>
              <w:t>没有报价漏项</w:t>
            </w:r>
          </w:p>
        </w:tc>
        <w:tc>
          <w:tcPr>
            <w:tcW w:type="dxa" w:w="4238"/>
          </w:tcPr>
          <w:p>
            <w:r>
              <w:rPr/>
              <w:t>对标的没有报价漏项</w:t>
            </w:r>
          </w:p>
        </w:tc>
      </w:tr>
      <w:tr>
        <w:tc>
          <w:tcPr>
            <w:tcW w:type="dxa" w:w="890"/>
          </w:tcPr>
          <w:p>
            <w:r>
              <w:rPr/>
              <w:t>6</w:t>
            </w:r>
          </w:p>
        </w:tc>
        <w:tc>
          <w:tcPr>
            <w:tcW w:type="dxa" w:w="3178"/>
          </w:tcPr>
          <w:p>
            <w:r>
              <w:rPr/>
              <w:t>投标文件的完整性</w:t>
            </w:r>
          </w:p>
        </w:tc>
        <w:tc>
          <w:tcPr>
            <w:tcW w:type="dxa" w:w="4238"/>
          </w:tcPr>
          <w:p>
            <w:r>
              <w:rPr/>
              <w:t>投标文件完整且编排有序，投标内容基本完整，无重大错漏</w:t>
            </w:r>
          </w:p>
        </w:tc>
      </w:tr>
      <w:tr>
        <w:tc>
          <w:tcPr>
            <w:tcW w:type="dxa" w:w="890"/>
          </w:tcPr>
          <w:p>
            <w:r>
              <w:rPr/>
              <w:t>7</w:t>
            </w:r>
          </w:p>
        </w:tc>
        <w:tc>
          <w:tcPr>
            <w:tcW w:type="dxa" w:w="3178"/>
          </w:tcPr>
          <w:p>
            <w:r>
              <w:rPr/>
              <w:t>投标有效期</w:t>
            </w:r>
          </w:p>
        </w:tc>
        <w:tc>
          <w:tcPr>
            <w:tcW w:type="dxa" w:w="4238"/>
          </w:tcPr>
          <w:p>
            <w:r>
              <w:rPr/>
              <w:t>投标截止日起90天</w:t>
            </w:r>
          </w:p>
        </w:tc>
      </w:tr>
      <w:tr>
        <w:tc>
          <w:tcPr>
            <w:tcW w:type="dxa" w:w="890"/>
          </w:tcPr>
          <w:p>
            <w:r>
              <w:rPr/>
              <w:t>8</w:t>
            </w:r>
          </w:p>
        </w:tc>
        <w:tc>
          <w:tcPr>
            <w:tcW w:type="dxa" w:w="3178"/>
          </w:tcPr>
          <w:p>
            <w:r>
              <w:rPr/>
              <w:t>带★条款</w:t>
            </w:r>
          </w:p>
        </w:tc>
        <w:tc>
          <w:tcPr>
            <w:tcW w:type="dxa" w:w="4238"/>
          </w:tcPr>
          <w:p>
            <w:r>
              <w:rPr/>
              <w:t>满足招标文件要求</w:t>
            </w:r>
          </w:p>
        </w:tc>
      </w:tr>
      <w:tr>
        <w:tc>
          <w:tcPr>
            <w:tcW w:type="dxa" w:w="890"/>
          </w:tcPr>
          <w:p>
            <w:r>
              <w:rPr/>
              <w:t>9</w:t>
            </w:r>
          </w:p>
        </w:tc>
        <w:tc>
          <w:tcPr>
            <w:tcW w:type="dxa" w:w="3178"/>
          </w:tcPr>
          <w:p>
            <w:r>
              <w:rPr/>
              <w:t>交货期</w:t>
            </w:r>
          </w:p>
        </w:tc>
        <w:tc>
          <w:tcPr>
            <w:tcW w:type="dxa" w:w="4238"/>
          </w:tcPr>
          <w:p>
            <w:r>
              <w:rPr/>
              <w:t>满足招标文件要求</w:t>
            </w:r>
          </w:p>
        </w:tc>
      </w:tr>
      <w:tr>
        <w:tc>
          <w:tcPr>
            <w:tcW w:type="dxa" w:w="890"/>
          </w:tcPr>
          <w:p>
            <w:r>
              <w:rPr/>
              <w:t>10</w:t>
            </w:r>
          </w:p>
        </w:tc>
        <w:tc>
          <w:tcPr>
            <w:tcW w:type="dxa" w:w="3178"/>
          </w:tcPr>
          <w:p>
            <w:r>
              <w:rPr/>
              <w:t>投标文件未含有采购人不可接受的附加条件</w:t>
            </w:r>
          </w:p>
        </w:tc>
        <w:tc>
          <w:tcPr>
            <w:tcW w:type="dxa" w:w="4238"/>
          </w:tcPr>
          <w:p>
            <w:r>
              <w:rPr/>
              <w:t>投标文件未含有采购人不可接受的附加条件</w:t>
            </w:r>
          </w:p>
        </w:tc>
      </w:tr>
      <w:tr>
        <w:tc>
          <w:tcPr>
            <w:tcW w:type="dxa" w:w="890"/>
          </w:tcPr>
          <w:p>
            <w:r>
              <w:rPr/>
              <w:t>11</w:t>
            </w:r>
          </w:p>
        </w:tc>
        <w:tc>
          <w:tcPr>
            <w:tcW w:type="dxa" w:w="3178"/>
          </w:tcPr>
          <w:p>
            <w:r>
              <w:rPr/>
              <w:t>其他</w:t>
            </w:r>
          </w:p>
        </w:tc>
        <w:tc>
          <w:tcPr>
            <w:tcW w:type="dxa" w:w="4238"/>
          </w:tcPr>
          <w:p>
            <w:r>
              <w:rPr/>
              <w:t>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采购包1(荧光量子效率测量系统):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(15.0分)</w:t>
            </w:r>
          </w:p>
        </w:tc>
        <w:tc>
          <w:tcPr>
            <w:tcW w:type="dxa" w:w="5076"/>
          </w:tcPr>
          <w:p>
            <w:pPr>
              <w:jc w:val="left"/>
            </w:pPr>
            <w:r>
              <w:rPr/>
              <w:t>根据本包组“2.技术标准与要求 附表一”参数要求进行评审： （1）本包组共有2个“▲”号条款，满足1项得3分，最高得6分； （2）本包组共有18个一般条款，满足1项得0.5分，最高得9分。  上述“项”所指为各采购需求参数条款中的最末级条款项。 本评审项最高得15分。  注：采购需求书中有具体要求提供证明材料的技术参数，投标人须在响应文件中提供证明材料作为依据。不能提供证明材料的不得分。</w:t>
            </w:r>
          </w:p>
        </w:tc>
      </w:tr>
      <w:tr>
        <w:tc>
          <w:tcPr>
            <w:tcW w:type="dxa" w:w="922"/>
            <w:gridSpan w:val="2"/>
            <w:vMerge/>
          </w:tcPr>
          <w:p/>
        </w:tc>
        <w:tc>
          <w:tcPr>
            <w:tcW w:type="dxa" w:w="2307"/>
          </w:tcPr>
          <w:p>
            <w:pPr>
              <w:jc w:val="left"/>
            </w:pPr>
            <w:r>
              <w:rPr/>
              <w:t>项目实施方案（一） (3.0分)</w:t>
            </w:r>
            <w:r>
              <w:rPr/>
              <w:t>，（等次分值选择：</w:t>
            </w:r>
            <w:r>
              <w:rPr/>
              <w:t>0.0;</w:t>
            </w:r>
            <w:r>
              <w:rPr/>
              <w:t>3.0;</w:t>
            </w:r>
            <w:r>
              <w:rPr/>
              <w:t>）</w:t>
            </w:r>
          </w:p>
        </w:tc>
        <w:tc>
          <w:tcPr>
            <w:tcW w:type="dxa" w:w="5076"/>
          </w:tcPr>
          <w:p>
            <w:pPr>
              <w:jc w:val="left"/>
            </w:pPr>
            <w:r>
              <w:rPr/>
              <w:t>投标人根据本项目情况提供的项目实施方案（包括但不限于项目组织管理、人员管理、技术管理等方面），能提供以上内容的，得3分；不提供的得0分，且不能参与“项目实施方案（二）”项的评分。</w:t>
            </w:r>
          </w:p>
        </w:tc>
      </w:tr>
      <w:tr>
        <w:tc>
          <w:tcPr>
            <w:tcW w:type="dxa" w:w="922"/>
            <w:gridSpan w:val="2"/>
            <w:vMerge/>
          </w:tcPr>
          <w:p/>
        </w:tc>
        <w:tc>
          <w:tcPr>
            <w:tcW w:type="dxa" w:w="2307"/>
          </w:tcPr>
          <w:p>
            <w:pPr>
              <w:jc w:val="left"/>
            </w:pPr>
            <w:r>
              <w:rPr/>
              <w:t>项目实施方案（二） (12.0分)</w:t>
            </w:r>
            <w:r>
              <w:rPr/>
              <w:t>，（等次分值选择：</w:t>
            </w:r>
            <w:r>
              <w:rPr/>
              <w:t>0.0;</w:t>
            </w:r>
            <w:r>
              <w:rPr/>
              <w:t>4.0;</w:t>
            </w:r>
            <w:r>
              <w:rPr/>
              <w:t>8.0;</w:t>
            </w:r>
            <w:r>
              <w:rPr/>
              <w:t>12.0;</w:t>
            </w:r>
            <w:r>
              <w:rPr/>
              <w:t>）</w:t>
            </w:r>
          </w:p>
        </w:tc>
        <w:tc>
          <w:tcPr>
            <w:tcW w:type="dxa" w:w="5076"/>
          </w:tcPr>
          <w:p>
            <w:pPr>
              <w:jc w:val="left"/>
            </w:pPr>
            <w:r>
              <w:rPr/>
              <w:t>根据投标人提供的“项目实施方案（一）”内容进行综合评审： （1）实施方案详细具体、针对性强、可行性好，完全适用并优于本项目用户需求，得12分； （2）实施方案较为详细具体、针对性较强、可行性较好，完全适用本项目用户需求，得8分； （3）实施方案不够详细具体、缺乏针对性、可行性较差 ，不能完全适用本项目用户需求，得4分； （4）其它或不适用本项目用户需求，不得分。</w:t>
            </w:r>
          </w:p>
        </w:tc>
      </w:tr>
      <w:tr>
        <w:tc>
          <w:tcPr>
            <w:tcW w:type="dxa" w:w="922"/>
            <w:gridSpan w:val="2"/>
            <w:vMerge/>
          </w:tcPr>
          <w:p/>
        </w:tc>
        <w:tc>
          <w:tcPr>
            <w:tcW w:type="dxa" w:w="2307"/>
          </w:tcPr>
          <w:p>
            <w:pPr>
              <w:jc w:val="left"/>
            </w:pPr>
            <w:r>
              <w:rPr/>
              <w:t>质量保障方案（一） (3.0分)</w:t>
            </w:r>
            <w:r>
              <w:rPr/>
              <w:t>，（等次分值选择：</w:t>
            </w:r>
            <w:r>
              <w:rPr/>
              <w:t>0.0;</w:t>
            </w:r>
            <w:r>
              <w:rPr/>
              <w:t>3.0;</w:t>
            </w:r>
            <w:r>
              <w:rPr/>
              <w:t>）</w:t>
            </w:r>
          </w:p>
        </w:tc>
        <w:tc>
          <w:tcPr>
            <w:tcW w:type="dxa" w:w="5076"/>
          </w:tcPr>
          <w:p>
            <w:pPr>
              <w:jc w:val="left"/>
            </w:pPr>
            <w:r>
              <w:rPr/>
              <w:t>投标人根据本项目情况提供的质量保障方案（包括但不限于储存、运输环节的质量保证措施和货物质量保障应急机制、质量检测等方面），能提供以上内容的，得3分；不提供的得0分，且不能参与“质量保障方案（二）”项的评分。</w:t>
            </w:r>
          </w:p>
        </w:tc>
      </w:tr>
      <w:tr>
        <w:tc>
          <w:tcPr>
            <w:tcW w:type="dxa" w:w="922"/>
            <w:gridSpan w:val="2"/>
            <w:vMerge/>
          </w:tcPr>
          <w:p/>
        </w:tc>
        <w:tc>
          <w:tcPr>
            <w:tcW w:type="dxa" w:w="2307"/>
          </w:tcPr>
          <w:p>
            <w:pPr>
              <w:jc w:val="left"/>
            </w:pPr>
            <w:r>
              <w:rPr/>
              <w:t>质量保障方案（二） (12.0分)</w:t>
            </w:r>
            <w:r>
              <w:rPr/>
              <w:t>，（等次分值选择：</w:t>
            </w:r>
            <w:r>
              <w:rPr/>
              <w:t>0.0;</w:t>
            </w:r>
            <w:r>
              <w:rPr/>
              <w:t>4.0;</w:t>
            </w:r>
            <w:r>
              <w:rPr/>
              <w:t>8.0;</w:t>
            </w:r>
            <w:r>
              <w:rPr/>
              <w:t>12.0;</w:t>
            </w:r>
            <w:r>
              <w:rPr/>
              <w:t>）</w:t>
            </w:r>
          </w:p>
        </w:tc>
        <w:tc>
          <w:tcPr>
            <w:tcW w:type="dxa" w:w="5076"/>
          </w:tcPr>
          <w:p>
            <w:pPr>
              <w:jc w:val="left"/>
            </w:pPr>
            <w:r>
              <w:rPr/>
              <w:t>根据投标人提供的“质量保障方案（二）”内容进行综合评审： （1）质量保障方案全面、具体、有针对性，完全满足采购要求，得12分； （2）质量保障方案比较全面、具体，比较有针对性，满足采购要求，得8分； （3）质量保障方案不够全面、具体，针对性较差，部分满足采购要求，得4分； （4）其它或不满足本项目用户需求，不得分。</w:t>
            </w:r>
          </w:p>
        </w:tc>
      </w:tr>
      <w:tr>
        <w:tc>
          <w:tcPr>
            <w:tcW w:type="dxa" w:w="922"/>
            <w:gridSpan w:val="2"/>
            <w:vMerge w:val="restart"/>
          </w:tcPr>
          <w:p>
            <w:pPr>
              <w:jc w:val="center"/>
            </w:pPr>
            <w:r>
              <w:rPr/>
              <w:t>商务部分</w:t>
            </w:r>
          </w:p>
        </w:tc>
        <w:tc>
          <w:tcPr>
            <w:tcW w:type="dxa" w:w="2307"/>
          </w:tcPr>
          <w:p>
            <w:pPr>
              <w:jc w:val="left"/>
            </w:pPr>
            <w:r>
              <w:rPr/>
              <w:t>商务条款响应程度 (5.0分)</w:t>
            </w:r>
            <w:r>
              <w:rPr/>
              <w:t>，（等次分值选择：</w:t>
            </w:r>
            <w:r>
              <w:rPr/>
              <w:t>0.0;</w:t>
            </w:r>
            <w:r>
              <w:rPr/>
              <w:t>3.0;</w:t>
            </w:r>
            <w:r>
              <w:rPr/>
              <w:t>5.0;</w:t>
            </w:r>
            <w:r>
              <w:rPr/>
              <w:t>）</w:t>
            </w:r>
          </w:p>
        </w:tc>
        <w:tc>
          <w:tcPr>
            <w:tcW w:type="dxa" w:w="5076"/>
          </w:tcPr>
          <w:p>
            <w:pPr>
              <w:jc w:val="left"/>
            </w:pPr>
            <w:r>
              <w:rPr/>
              <w:t>根据投标人的“主要商务要求”条款响应程度，进行评审： （1）优于招标文件要求的，得5分； （2）全部满足招标文件要求的，得3分； （3）其他情况不得分。</w:t>
            </w:r>
          </w:p>
        </w:tc>
      </w:tr>
      <w:tr>
        <w:tc>
          <w:tcPr>
            <w:tcW w:type="dxa" w:w="922"/>
            <w:gridSpan w:val="2"/>
            <w:vMerge/>
          </w:tcPr>
          <w:p/>
        </w:tc>
        <w:tc>
          <w:tcPr>
            <w:tcW w:type="dxa" w:w="2307"/>
          </w:tcPr>
          <w:p>
            <w:pPr>
              <w:jc w:val="left"/>
            </w:pPr>
            <w:r>
              <w:rPr/>
              <w:t>同类项目业绩 (6.0分)</w:t>
            </w:r>
            <w:r>
              <w:rPr/>
              <w:t>，（等次分值选择：</w:t>
            </w:r>
            <w:r>
              <w:rPr/>
              <w:t>0.0;</w:t>
            </w:r>
            <w:r>
              <w:rPr/>
              <w:t>1.0;</w:t>
            </w:r>
            <w:r>
              <w:rPr/>
              <w:t>2.0;</w:t>
            </w:r>
            <w:r>
              <w:rPr/>
              <w:t>3.0;</w:t>
            </w:r>
            <w:r>
              <w:rPr/>
              <w:t>4.0;</w:t>
            </w:r>
            <w:r>
              <w:rPr/>
              <w:t>5.0;</w:t>
            </w:r>
            <w:r>
              <w:rPr/>
              <w:t>6.0;</w:t>
            </w:r>
            <w:r>
              <w:rPr/>
              <w:t>）</w:t>
            </w:r>
          </w:p>
        </w:tc>
        <w:tc>
          <w:tcPr>
            <w:tcW w:type="dxa" w:w="5076"/>
          </w:tcPr>
          <w:p>
            <w:pPr>
              <w:jc w:val="left"/>
            </w:pPr>
            <w:r>
              <w:rPr/>
              <w:t>投标人自2021年1月1日至今（以合同签订时间为准），完成同类项目业绩情况，每提供一项得1分，最高得6分。 注：需提供合同关键页（包含项目名称、合同标的或设备清单、双方签字盖章页及合同签订日期等内容）复印件，否则不得分。</w:t>
            </w:r>
          </w:p>
        </w:tc>
      </w:tr>
      <w:tr>
        <w:tc>
          <w:tcPr>
            <w:tcW w:type="dxa" w:w="922"/>
            <w:gridSpan w:val="2"/>
            <w:vMerge/>
          </w:tcPr>
          <w:p/>
        </w:tc>
        <w:tc>
          <w:tcPr>
            <w:tcW w:type="dxa" w:w="2307"/>
          </w:tcPr>
          <w:p>
            <w:pPr>
              <w:jc w:val="left"/>
            </w:pPr>
            <w:r>
              <w:rPr/>
              <w:t>技术人员配备情况 (5.0分)</w:t>
            </w:r>
            <w:r>
              <w:rPr/>
              <w:t>，（等次分值选择：</w:t>
            </w:r>
            <w:r>
              <w:rPr/>
              <w:t>0.0;</w:t>
            </w:r>
            <w:r>
              <w:rPr/>
              <w:t>1.0;</w:t>
            </w:r>
            <w:r>
              <w:rPr/>
              <w:t>3.0;</w:t>
            </w:r>
            <w:r>
              <w:rPr/>
              <w:t>5.0;</w:t>
            </w:r>
            <w:r>
              <w:rPr/>
              <w:t>）</w:t>
            </w:r>
          </w:p>
        </w:tc>
        <w:tc>
          <w:tcPr>
            <w:tcW w:type="dxa" w:w="5076"/>
          </w:tcPr>
          <w:p>
            <w:pPr>
              <w:jc w:val="left"/>
            </w:pPr>
            <w:r>
              <w:rPr/>
              <w:t>根据投标人拟投入本项目的相关专业技术人员情况进行评审： （1）人员配置专业及岗位设置合理，有利于本项目实施的，得5分； （2）人员配置专业及岗位设置较合理，较利于本项目实施的，得3分； （3）人员配置专业及岗位设置基本合理，不利于本项目实施的，得1分； （4）其他情况不得分。 注：需提供相关专业技术人员名单及近6个月其中任意一个月单位为其缴纳的社保证明材料或劳动合同复印件，否则不得分。</w:t>
            </w:r>
          </w:p>
        </w:tc>
      </w:tr>
      <w:tr>
        <w:tc>
          <w:tcPr>
            <w:tcW w:type="dxa" w:w="922"/>
            <w:gridSpan w:val="2"/>
            <w:vMerge/>
          </w:tcPr>
          <w:p/>
        </w:tc>
        <w:tc>
          <w:tcPr>
            <w:tcW w:type="dxa" w:w="2307"/>
          </w:tcPr>
          <w:p>
            <w:pPr>
              <w:jc w:val="left"/>
            </w:pPr>
            <w:r>
              <w:rPr/>
              <w:t>体系认证证书 (3.0分)</w:t>
            </w:r>
            <w:r>
              <w:rPr/>
              <w:t>，（等次分值选择：</w:t>
            </w:r>
            <w:r>
              <w:rPr/>
              <w:t>0.0;</w:t>
            </w:r>
            <w:r>
              <w:rPr/>
              <w:t>1.0;</w:t>
            </w:r>
            <w:r>
              <w:rPr/>
              <w:t>2.0;</w:t>
            </w:r>
            <w:r>
              <w:rPr/>
              <w:t>3.0;</w:t>
            </w:r>
            <w:r>
              <w:rPr/>
              <w:t>）</w:t>
            </w:r>
          </w:p>
        </w:tc>
        <w:tc>
          <w:tcPr>
            <w:tcW w:type="dxa" w:w="5076"/>
          </w:tcPr>
          <w:p>
            <w:pPr>
              <w:jc w:val="left"/>
            </w:pPr>
            <w:r>
              <w:rPr/>
              <w:t>投标人具有有效期内的质量管理体系认证证书、环境管理体系认证证书、职业健康安全管理体系认证证书的，每提供一个证书得1分，最高得3分。 注：需提供证书复印件，并须同时提供在“全国认证认可信息公共服务平台”对体系证书的信息查询截图作为评审依据，已失效或撤销的不得分。上述证书如因成立时间不足三个月原因未能获得的，可对应得分。</w:t>
            </w:r>
          </w:p>
        </w:tc>
      </w:tr>
      <w:tr>
        <w:tc>
          <w:tcPr>
            <w:tcW w:type="dxa" w:w="922"/>
            <w:gridSpan w:val="2"/>
            <w:vMerge/>
          </w:tcPr>
          <w:p/>
        </w:tc>
        <w:tc>
          <w:tcPr>
            <w:tcW w:type="dxa" w:w="2307"/>
          </w:tcPr>
          <w:p>
            <w:pPr>
              <w:jc w:val="left"/>
            </w:pPr>
            <w:r>
              <w:rPr/>
              <w:t>售后服务和培训方案（一） (1.0分)</w:t>
            </w:r>
            <w:r>
              <w:rPr/>
              <w:t>，（等次分值选择：</w:t>
            </w:r>
            <w:r>
              <w:rPr/>
              <w:t>0.0;</w:t>
            </w:r>
            <w:r>
              <w:rPr/>
              <w:t>1.0;</w:t>
            </w:r>
            <w:r>
              <w:rPr/>
              <w:t>）</w:t>
            </w:r>
          </w:p>
        </w:tc>
        <w:tc>
          <w:tcPr>
            <w:tcW w:type="dxa" w:w="5076"/>
          </w:tcPr>
          <w:p>
            <w:pPr>
              <w:jc w:val="left"/>
            </w:pPr>
            <w:r>
              <w:rPr/>
              <w:t>投标人根据本项目情况提供的售后服务方案（包括但不限于破损产品退换、保修服务范围、服务能力、服务标准、售后服务承诺等方面）和培训服务方案（包括但不限于设备的基本原理、安装、调试、操作使用和日常保养维修培训等方面），能提供以上内容的，得1分；不提供的得0分，且不能参与“售后服务和培训方案（二）”项的评分。</w:t>
            </w:r>
          </w:p>
        </w:tc>
      </w:tr>
      <w:tr>
        <w:tc>
          <w:tcPr>
            <w:tcW w:type="dxa" w:w="922"/>
            <w:gridSpan w:val="2"/>
            <w:vMerge/>
          </w:tcPr>
          <w:p/>
        </w:tc>
        <w:tc>
          <w:tcPr>
            <w:tcW w:type="dxa" w:w="2307"/>
          </w:tcPr>
          <w:p>
            <w:pPr>
              <w:jc w:val="left"/>
            </w:pPr>
            <w:r>
              <w:rPr/>
              <w:t>售后服务和培训方案（二） (5.0分)</w:t>
            </w:r>
            <w:r>
              <w:rPr/>
              <w:t>，（等次分值选择：</w:t>
            </w:r>
            <w:r>
              <w:rPr/>
              <w:t>0.0;</w:t>
            </w:r>
            <w:r>
              <w:rPr/>
              <w:t>1.0;</w:t>
            </w:r>
            <w:r>
              <w:rPr/>
              <w:t>3.0;</w:t>
            </w:r>
            <w:r>
              <w:rPr/>
              <w:t>5.0;</w:t>
            </w:r>
            <w:r>
              <w:rPr/>
              <w:t>）</w:t>
            </w:r>
          </w:p>
        </w:tc>
        <w:tc>
          <w:tcPr>
            <w:tcW w:type="dxa" w:w="5076"/>
          </w:tcPr>
          <w:p>
            <w:pPr>
              <w:jc w:val="left"/>
            </w:pPr>
            <w:r>
              <w:rPr/>
              <w:t>根据投标人提供的“售后服务和培训方案（一）”内容进行综合评审： （1）售后服务和培训方案详细、完整、科学、合理、可行性高，完全满足采购要求的，得5分； （2）售后服务和培训方案比较详细、完整、科学、合理，可行性较高，满足采购要求的，得3分； （3）售后服务和培训方案不够详细、完整、科学、合理，可行性较差，部分满足采购要求的，得1分； （4）其它或不满足本项目用户需求，不得分。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采购包2(高温材料合成炉):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(20.0分)</w:t>
            </w:r>
          </w:p>
        </w:tc>
        <w:tc>
          <w:tcPr>
            <w:tcW w:type="dxa" w:w="5076"/>
          </w:tcPr>
          <w:p>
            <w:pPr>
              <w:jc w:val="left"/>
            </w:pPr>
            <w:r>
              <w:rPr/>
              <w:t>根据本包组“2.技术标准与要求 附表一”参数要求进行评审： 本包组共有20个一般条款，满足1项得1分，最高得20分。  上述“项”所指为各采购需求参数条款中的最末级条款项。 本评审项最高得20分。  注：采购需求书中有具体要求提供证明材料的技术参数，投标人须在响应文件中提供证明材料作为依据。不能提供证明材料的不得分。</w:t>
            </w:r>
          </w:p>
        </w:tc>
      </w:tr>
      <w:tr>
        <w:tc>
          <w:tcPr>
            <w:tcW w:type="dxa" w:w="922"/>
            <w:gridSpan w:val="2"/>
            <w:vMerge/>
          </w:tcPr>
          <w:p/>
        </w:tc>
        <w:tc>
          <w:tcPr>
            <w:tcW w:type="dxa" w:w="2307"/>
          </w:tcPr>
          <w:p>
            <w:pPr>
              <w:jc w:val="left"/>
            </w:pPr>
            <w:r>
              <w:rPr/>
              <w:t>项目实施方案（一） (3.0分)</w:t>
            </w:r>
            <w:r>
              <w:rPr/>
              <w:t>，（等次分值选择：</w:t>
            </w:r>
            <w:r>
              <w:rPr/>
              <w:t>0.0;</w:t>
            </w:r>
            <w:r>
              <w:rPr/>
              <w:t>3.0;</w:t>
            </w:r>
            <w:r>
              <w:rPr/>
              <w:t>）</w:t>
            </w:r>
          </w:p>
        </w:tc>
        <w:tc>
          <w:tcPr>
            <w:tcW w:type="dxa" w:w="5076"/>
          </w:tcPr>
          <w:p>
            <w:pPr>
              <w:jc w:val="left"/>
            </w:pPr>
            <w:r>
              <w:rPr/>
              <w:t>投标人根据本项目情况提供的项目实施方案（包括但不限于项目组织管理、人员管理、技术管理等方面），能提供以上内容的，得3分；不提供的得0分，且不能参与“项目实施方案（二）”项的评分。</w:t>
            </w:r>
          </w:p>
        </w:tc>
      </w:tr>
      <w:tr>
        <w:tc>
          <w:tcPr>
            <w:tcW w:type="dxa" w:w="922"/>
            <w:gridSpan w:val="2"/>
            <w:vMerge/>
          </w:tcPr>
          <w:p/>
        </w:tc>
        <w:tc>
          <w:tcPr>
            <w:tcW w:type="dxa" w:w="2307"/>
          </w:tcPr>
          <w:p>
            <w:pPr>
              <w:jc w:val="left"/>
            </w:pPr>
            <w:r>
              <w:rPr/>
              <w:t>项目实施方案（二） (12.0分)</w:t>
            </w:r>
            <w:r>
              <w:rPr/>
              <w:t>，（等次分值选择：</w:t>
            </w:r>
            <w:r>
              <w:rPr/>
              <w:t>0.0;</w:t>
            </w:r>
            <w:r>
              <w:rPr/>
              <w:t>4.0;</w:t>
            </w:r>
            <w:r>
              <w:rPr/>
              <w:t>8.0;</w:t>
            </w:r>
            <w:r>
              <w:rPr/>
              <w:t>12.0;</w:t>
            </w:r>
            <w:r>
              <w:rPr/>
              <w:t>）</w:t>
            </w:r>
          </w:p>
        </w:tc>
        <w:tc>
          <w:tcPr>
            <w:tcW w:type="dxa" w:w="5076"/>
          </w:tcPr>
          <w:p>
            <w:pPr>
              <w:jc w:val="left"/>
            </w:pPr>
            <w:r>
              <w:rPr/>
              <w:t>根据投标人提供的“项目实施方案（一）”内容进行综合评审： （1）实施方案详细具体、针对性强、可行性好，完全适用并优于本项目用户需求，得12分； （2）实施方案较为详细具体、针对性较强、可行性较好，完全适用本项目用户需求，得8分； （3）实施方案不够详细具体、缺乏针对性、可行性较差 ，不能完全适用本项目用户需求，得4分； （4）其它或不适用本项目用户需求，不得分。</w:t>
            </w:r>
          </w:p>
        </w:tc>
      </w:tr>
      <w:tr>
        <w:tc>
          <w:tcPr>
            <w:tcW w:type="dxa" w:w="922"/>
            <w:gridSpan w:val="2"/>
            <w:vMerge/>
          </w:tcPr>
          <w:p/>
        </w:tc>
        <w:tc>
          <w:tcPr>
            <w:tcW w:type="dxa" w:w="2307"/>
          </w:tcPr>
          <w:p>
            <w:pPr>
              <w:jc w:val="left"/>
            </w:pPr>
            <w:r>
              <w:rPr/>
              <w:t>质量保障方案（一） (2.0分)</w:t>
            </w:r>
            <w:r>
              <w:rPr/>
              <w:t>，（等次分值选择：</w:t>
            </w:r>
            <w:r>
              <w:rPr/>
              <w:t>0.0;</w:t>
            </w:r>
            <w:r>
              <w:rPr/>
              <w:t>2.0;</w:t>
            </w:r>
            <w:r>
              <w:rPr/>
              <w:t>）</w:t>
            </w:r>
          </w:p>
        </w:tc>
        <w:tc>
          <w:tcPr>
            <w:tcW w:type="dxa" w:w="5076"/>
          </w:tcPr>
          <w:p>
            <w:pPr>
              <w:jc w:val="left"/>
            </w:pPr>
            <w:r>
              <w:rPr/>
              <w:t>投标人根据本项目情况提供的质量保障方案（包括但不限于储存、运输环节的质量保证措施和货物质量保障应急机制、质量检测等方面），能提供以上内容的，得2分；不提供的得0分，且不能参与“质量保障方案（二）”项的评分。</w:t>
            </w:r>
          </w:p>
        </w:tc>
      </w:tr>
      <w:tr>
        <w:tc>
          <w:tcPr>
            <w:tcW w:type="dxa" w:w="922"/>
            <w:gridSpan w:val="2"/>
            <w:vMerge/>
          </w:tcPr>
          <w:p/>
        </w:tc>
        <w:tc>
          <w:tcPr>
            <w:tcW w:type="dxa" w:w="2307"/>
          </w:tcPr>
          <w:p>
            <w:pPr>
              <w:jc w:val="left"/>
            </w:pPr>
            <w:r>
              <w:rPr/>
              <w:t>质量保障方案（二） (8.0分)</w:t>
            </w:r>
            <w:r>
              <w:rPr/>
              <w:t>，（等次分值选择：</w:t>
            </w:r>
            <w:r>
              <w:rPr/>
              <w:t>0.0;</w:t>
            </w:r>
            <w:r>
              <w:rPr/>
              <w:t>2.0;</w:t>
            </w:r>
            <w:r>
              <w:rPr/>
              <w:t>4.0;</w:t>
            </w:r>
            <w:r>
              <w:rPr/>
              <w:t>8.0;</w:t>
            </w:r>
            <w:r>
              <w:rPr/>
              <w:t>）</w:t>
            </w:r>
          </w:p>
        </w:tc>
        <w:tc>
          <w:tcPr>
            <w:tcW w:type="dxa" w:w="5076"/>
          </w:tcPr>
          <w:p>
            <w:pPr>
              <w:jc w:val="left"/>
            </w:pPr>
            <w:r>
              <w:rPr/>
              <w:t>根据投标人提供的“质量保障方案（二）”内容进行综合评审： （1）质量保障方案全面、具体、有针对性，完全满足采购要求，得8分； （2）质量保障方案比较全面、具体，比较有针对性，满足采购要求，得4分； （3）质量保障方案不够全面、具体，针对性较差，部分满足采购要求，得2分； （4）其它或不满足本项目用户需求，不得分。</w:t>
            </w:r>
          </w:p>
        </w:tc>
      </w:tr>
      <w:tr>
        <w:tc>
          <w:tcPr>
            <w:tcW w:type="dxa" w:w="922"/>
            <w:gridSpan w:val="2"/>
            <w:vMerge w:val="restart"/>
          </w:tcPr>
          <w:p>
            <w:pPr>
              <w:jc w:val="center"/>
            </w:pPr>
            <w:r>
              <w:rPr/>
              <w:t>商务部分</w:t>
            </w:r>
          </w:p>
        </w:tc>
        <w:tc>
          <w:tcPr>
            <w:tcW w:type="dxa" w:w="2307"/>
          </w:tcPr>
          <w:p>
            <w:pPr>
              <w:jc w:val="left"/>
            </w:pPr>
            <w:r>
              <w:rPr/>
              <w:t>商务条款响应程度 (5.0分)</w:t>
            </w:r>
            <w:r>
              <w:rPr/>
              <w:t>，（等次分值选择：</w:t>
            </w:r>
            <w:r>
              <w:rPr/>
              <w:t>0.0;</w:t>
            </w:r>
            <w:r>
              <w:rPr/>
              <w:t>3.0;</w:t>
            </w:r>
            <w:r>
              <w:rPr/>
              <w:t>5.0;</w:t>
            </w:r>
            <w:r>
              <w:rPr/>
              <w:t>）</w:t>
            </w:r>
          </w:p>
        </w:tc>
        <w:tc>
          <w:tcPr>
            <w:tcW w:type="dxa" w:w="5076"/>
          </w:tcPr>
          <w:p>
            <w:pPr>
              <w:jc w:val="left"/>
            </w:pPr>
            <w:r>
              <w:rPr/>
              <w:t>根据投标人的“主要商务要求”条款响应程度，进行评审： （1）优于招标文件要求的，得5分； （2）全部满足招标文件要求的，得3分； （3）其他情况不得分。</w:t>
            </w:r>
          </w:p>
        </w:tc>
      </w:tr>
      <w:tr>
        <w:tc>
          <w:tcPr>
            <w:tcW w:type="dxa" w:w="922"/>
            <w:gridSpan w:val="2"/>
            <w:vMerge/>
          </w:tcPr>
          <w:p/>
        </w:tc>
        <w:tc>
          <w:tcPr>
            <w:tcW w:type="dxa" w:w="2307"/>
          </w:tcPr>
          <w:p>
            <w:pPr>
              <w:jc w:val="left"/>
            </w:pPr>
            <w:r>
              <w:rPr/>
              <w:t>同类项目业绩 (6.0分)</w:t>
            </w:r>
            <w:r>
              <w:rPr/>
              <w:t>，（等次分值选择：</w:t>
            </w:r>
            <w:r>
              <w:rPr/>
              <w:t>0.0;</w:t>
            </w:r>
            <w:r>
              <w:rPr/>
              <w:t>1.0;</w:t>
            </w:r>
            <w:r>
              <w:rPr/>
              <w:t>2.0;</w:t>
            </w:r>
            <w:r>
              <w:rPr/>
              <w:t>3.0;</w:t>
            </w:r>
            <w:r>
              <w:rPr/>
              <w:t>4.0;</w:t>
            </w:r>
            <w:r>
              <w:rPr/>
              <w:t>5.0;</w:t>
            </w:r>
            <w:r>
              <w:rPr/>
              <w:t>6.0;</w:t>
            </w:r>
            <w:r>
              <w:rPr/>
              <w:t>）</w:t>
            </w:r>
          </w:p>
        </w:tc>
        <w:tc>
          <w:tcPr>
            <w:tcW w:type="dxa" w:w="5076"/>
          </w:tcPr>
          <w:p>
            <w:pPr>
              <w:jc w:val="left"/>
            </w:pPr>
            <w:r>
              <w:rPr/>
              <w:t>投标人自2021年1月1日至今（以合同签订时间为准），完成同类项目业绩情况，每提供一项得1分，最高得6分。 注：需提供合同关键页（包含项目名称、合同标的或设备清单、双方签字盖章页及合同签订日期等内容）复印件，否则不得分。</w:t>
            </w:r>
          </w:p>
        </w:tc>
      </w:tr>
      <w:tr>
        <w:tc>
          <w:tcPr>
            <w:tcW w:type="dxa" w:w="922"/>
            <w:gridSpan w:val="2"/>
            <w:vMerge/>
          </w:tcPr>
          <w:p/>
        </w:tc>
        <w:tc>
          <w:tcPr>
            <w:tcW w:type="dxa" w:w="2307"/>
          </w:tcPr>
          <w:p>
            <w:pPr>
              <w:jc w:val="left"/>
            </w:pPr>
            <w:r>
              <w:rPr/>
              <w:t>技术人员配备情况 (5.0分)</w:t>
            </w:r>
            <w:r>
              <w:rPr/>
              <w:t>，（等次分值选择：</w:t>
            </w:r>
            <w:r>
              <w:rPr/>
              <w:t>0.0;</w:t>
            </w:r>
            <w:r>
              <w:rPr/>
              <w:t>1.0;</w:t>
            </w:r>
            <w:r>
              <w:rPr/>
              <w:t>3.0;</w:t>
            </w:r>
            <w:r>
              <w:rPr/>
              <w:t>5.0;</w:t>
            </w:r>
            <w:r>
              <w:rPr/>
              <w:t>）</w:t>
            </w:r>
          </w:p>
        </w:tc>
        <w:tc>
          <w:tcPr>
            <w:tcW w:type="dxa" w:w="5076"/>
          </w:tcPr>
          <w:p>
            <w:pPr>
              <w:jc w:val="left"/>
            </w:pPr>
            <w:r>
              <w:rPr/>
              <w:t>根据投标人拟投入本项目的相关专业技术人员情况进行评审： （1）人员配置专业及岗位设置合理，有利于本项目实施的，得5分； （2）人员配置专业及岗位设置较合理，较利于本项目实施的，得3分； （3）人员配置专业及岗位设置基本合理，不利于本项目实施的，得1分； （4）其他情况不得分。 注：需提供相关专业技术人员名单及近6个月其中任意一个月单位为其缴纳的社保证明材料或劳动合同复印件，否则不得分。</w:t>
            </w:r>
          </w:p>
        </w:tc>
      </w:tr>
      <w:tr>
        <w:tc>
          <w:tcPr>
            <w:tcW w:type="dxa" w:w="922"/>
            <w:gridSpan w:val="2"/>
            <w:vMerge/>
          </w:tcPr>
          <w:p/>
        </w:tc>
        <w:tc>
          <w:tcPr>
            <w:tcW w:type="dxa" w:w="2307"/>
          </w:tcPr>
          <w:p>
            <w:pPr>
              <w:jc w:val="left"/>
            </w:pPr>
            <w:r>
              <w:rPr/>
              <w:t>体系认证证书 (3.0分)</w:t>
            </w:r>
            <w:r>
              <w:rPr/>
              <w:t>，（等次分值选择：</w:t>
            </w:r>
            <w:r>
              <w:rPr/>
              <w:t>0.0;</w:t>
            </w:r>
            <w:r>
              <w:rPr/>
              <w:t>1.0;</w:t>
            </w:r>
            <w:r>
              <w:rPr/>
              <w:t>2.0;</w:t>
            </w:r>
            <w:r>
              <w:rPr/>
              <w:t>3.0;</w:t>
            </w:r>
            <w:r>
              <w:rPr/>
              <w:t>）</w:t>
            </w:r>
          </w:p>
        </w:tc>
        <w:tc>
          <w:tcPr>
            <w:tcW w:type="dxa" w:w="5076"/>
          </w:tcPr>
          <w:p>
            <w:pPr>
              <w:jc w:val="left"/>
            </w:pPr>
            <w:r>
              <w:rPr/>
              <w:t>投标人具有有效期内的质量管理体系认证证书、环境管理体系认证证书、职业健康安全管理体系认证证书的，每提供一个证书得1分，最高得3分。 注：需提供证书复印件，并须同时提供在“全国认证认可信息公共服务平台”对体系证书的信息查询截图作为评审依据，已失效或撤销的不得分。上述证书如因成立时间不足三个月原因未能获得的，可对应得分。</w:t>
            </w:r>
          </w:p>
        </w:tc>
      </w:tr>
      <w:tr>
        <w:tc>
          <w:tcPr>
            <w:tcW w:type="dxa" w:w="922"/>
            <w:gridSpan w:val="2"/>
            <w:vMerge/>
          </w:tcPr>
          <w:p/>
        </w:tc>
        <w:tc>
          <w:tcPr>
            <w:tcW w:type="dxa" w:w="2307"/>
          </w:tcPr>
          <w:p>
            <w:pPr>
              <w:jc w:val="left"/>
            </w:pPr>
            <w:r>
              <w:rPr/>
              <w:t>售后服务和培训方案（一） (1.0分)</w:t>
            </w:r>
            <w:r>
              <w:rPr/>
              <w:t>，（等次分值选择：</w:t>
            </w:r>
            <w:r>
              <w:rPr/>
              <w:t>0.0;</w:t>
            </w:r>
            <w:r>
              <w:rPr/>
              <w:t>1.0;</w:t>
            </w:r>
            <w:r>
              <w:rPr/>
              <w:t>）</w:t>
            </w:r>
          </w:p>
        </w:tc>
        <w:tc>
          <w:tcPr>
            <w:tcW w:type="dxa" w:w="5076"/>
          </w:tcPr>
          <w:p>
            <w:pPr>
              <w:jc w:val="left"/>
            </w:pPr>
            <w:r>
              <w:rPr/>
              <w:t>投标人根据本项目情况提供的售后服务方案（包括但不限于破损产品退换、保修服务范围、服务能力、服务标准、售后服务承诺等方面）和培训服务方案（包括但不限于设备的基本原理、安装、调试、操作使用和日常保养维修培训等方面），能提供以上内容的，得1分；不提供的得0分，且不能参与“售后服务和培训方案（二）”项的评分。</w:t>
            </w:r>
          </w:p>
        </w:tc>
      </w:tr>
      <w:tr>
        <w:tc>
          <w:tcPr>
            <w:tcW w:type="dxa" w:w="922"/>
            <w:gridSpan w:val="2"/>
            <w:vMerge/>
          </w:tcPr>
          <w:p/>
        </w:tc>
        <w:tc>
          <w:tcPr>
            <w:tcW w:type="dxa" w:w="2307"/>
          </w:tcPr>
          <w:p>
            <w:pPr>
              <w:jc w:val="left"/>
            </w:pPr>
            <w:r>
              <w:rPr/>
              <w:t>售后服务和培训方案（二） (5.0分)</w:t>
            </w:r>
            <w:r>
              <w:rPr/>
              <w:t>，（等次分值选择：</w:t>
            </w:r>
            <w:r>
              <w:rPr/>
              <w:t>0.0;</w:t>
            </w:r>
            <w:r>
              <w:rPr/>
              <w:t>1.0;</w:t>
            </w:r>
            <w:r>
              <w:rPr/>
              <w:t>3.0;</w:t>
            </w:r>
            <w:r>
              <w:rPr/>
              <w:t>5.0;</w:t>
            </w:r>
            <w:r>
              <w:rPr/>
              <w:t>）</w:t>
            </w:r>
          </w:p>
        </w:tc>
        <w:tc>
          <w:tcPr>
            <w:tcW w:type="dxa" w:w="5076"/>
          </w:tcPr>
          <w:p>
            <w:pPr>
              <w:jc w:val="left"/>
            </w:pPr>
            <w:r>
              <w:rPr/>
              <w:t>根据投标人提供的“售后服务和培训方案（一）”内容进行综合评审： （1）售后服务和培训方案详细、完整、科学、合理、可行性高，完全满足采购要求的，得5分； （2）售后服务和培训方案比较详细、完整、科学、合理，可行性较高，满足采购要求的，得3分； （3）售后服务和培训方案不够详细、完整、科学、合理，可行性较差，部分满足采购要求的，得1分； （4）其它或不满足本项目用户需求，不得分。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采购包3(引线键合机):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技术部分45.0分</w:t>
            </w:r>
          </w:p>
          <w:p>
            <w:r>
              <w:rPr/>
              <w:t>报价得分30.0分</w:t>
            </w:r>
          </w:p>
        </w:tc>
      </w:tr>
      <w:tr>
        <w:tc>
          <w:tcPr>
            <w:tcW w:type="dxa" w:w="922"/>
            <w:gridSpan w:val="2"/>
            <w:vMerge w:val="restart"/>
          </w:tcPr>
          <w:p>
            <w:pPr>
              <w:jc w:val="center"/>
            </w:pPr>
            <w:r>
              <w:rPr/>
              <w:t>技术部分</w:t>
            </w:r>
          </w:p>
        </w:tc>
        <w:tc>
          <w:tcPr>
            <w:tcW w:type="dxa" w:w="2307"/>
          </w:tcPr>
          <w:p>
            <w:pPr>
              <w:jc w:val="left"/>
            </w:pPr>
            <w:r>
              <w:rPr/>
              <w:t>技术参数响应程度 (15.0分)</w:t>
            </w:r>
          </w:p>
        </w:tc>
        <w:tc>
          <w:tcPr>
            <w:tcW w:type="dxa" w:w="5076"/>
          </w:tcPr>
          <w:p>
            <w:pPr>
              <w:jc w:val="left"/>
            </w:pPr>
            <w:r>
              <w:rPr/>
              <w:t>根据本包组“2.技术标准与要求 附表一”参数要求进行评审： （1）本项目共有1个“▲”号条款，满足1项得5分，最高得5分； （2）本项目共有10个一般条款，满足1项得1分，最高得10分。  上述“项”所指为各采购需求参数条款中的最末级条款项。 本评审项最高得15分。  注：采购需求书中有具体要求提供证明材料的技术参数，投标人须在响应文件中提供证明材料作为依据。不能提供证明材料的不得分。</w:t>
            </w:r>
          </w:p>
        </w:tc>
      </w:tr>
      <w:tr>
        <w:tc>
          <w:tcPr>
            <w:tcW w:type="dxa" w:w="922"/>
            <w:gridSpan w:val="2"/>
            <w:vMerge/>
          </w:tcPr>
          <w:p/>
        </w:tc>
        <w:tc>
          <w:tcPr>
            <w:tcW w:type="dxa" w:w="2307"/>
          </w:tcPr>
          <w:p>
            <w:pPr>
              <w:jc w:val="left"/>
            </w:pPr>
            <w:r>
              <w:rPr/>
              <w:t>项目实施方案（一） (3.0分)</w:t>
            </w:r>
            <w:r>
              <w:rPr/>
              <w:t>，（等次分值选择：</w:t>
            </w:r>
            <w:r>
              <w:rPr/>
              <w:t>0.0;</w:t>
            </w:r>
            <w:r>
              <w:rPr/>
              <w:t>3.0;</w:t>
            </w:r>
            <w:r>
              <w:rPr/>
              <w:t>）</w:t>
            </w:r>
          </w:p>
        </w:tc>
        <w:tc>
          <w:tcPr>
            <w:tcW w:type="dxa" w:w="5076"/>
          </w:tcPr>
          <w:p>
            <w:pPr>
              <w:jc w:val="left"/>
            </w:pPr>
            <w:r>
              <w:rPr/>
              <w:t>投标人根据本项目情况提供的项目实施方案（包括但不限于项目组织管理、人员管理、技术管理等方面），能提供以上内容的，得3分；不提供的得0分，且不能参与“项目实施方案（二）”项的评分。</w:t>
            </w:r>
          </w:p>
        </w:tc>
      </w:tr>
      <w:tr>
        <w:tc>
          <w:tcPr>
            <w:tcW w:type="dxa" w:w="922"/>
            <w:gridSpan w:val="2"/>
            <w:vMerge/>
          </w:tcPr>
          <w:p/>
        </w:tc>
        <w:tc>
          <w:tcPr>
            <w:tcW w:type="dxa" w:w="2307"/>
          </w:tcPr>
          <w:p>
            <w:pPr>
              <w:jc w:val="left"/>
            </w:pPr>
            <w:r>
              <w:rPr/>
              <w:t>项目实施方案（二） (12.0分)</w:t>
            </w:r>
            <w:r>
              <w:rPr/>
              <w:t>，（等次分值选择：</w:t>
            </w:r>
            <w:r>
              <w:rPr/>
              <w:t>0.0;</w:t>
            </w:r>
            <w:r>
              <w:rPr/>
              <w:t>4.0;</w:t>
            </w:r>
            <w:r>
              <w:rPr/>
              <w:t>8.0;</w:t>
            </w:r>
            <w:r>
              <w:rPr/>
              <w:t>12.0;</w:t>
            </w:r>
            <w:r>
              <w:rPr/>
              <w:t>）</w:t>
            </w:r>
          </w:p>
        </w:tc>
        <w:tc>
          <w:tcPr>
            <w:tcW w:type="dxa" w:w="5076"/>
          </w:tcPr>
          <w:p>
            <w:pPr>
              <w:jc w:val="left"/>
            </w:pPr>
            <w:r>
              <w:rPr/>
              <w:t>根据投标人提供的“项目实施方案（一）”内容进行综合评审： （1）实施方案详细具体、针对性强、可行性好，完全适用并优于本项目用户需求，得12分； （2）实施方案较为详细具体、针对性较强、可行性较好，完全适用本项目用户需求，得8分； （3）实施方案不够详细具体、缺乏针对性、可行性较差 ，不能完全适用本项目用户需求，得4分； （4）其它或不适用本项目用户需求，不得分。</w:t>
            </w:r>
          </w:p>
        </w:tc>
      </w:tr>
      <w:tr>
        <w:tc>
          <w:tcPr>
            <w:tcW w:type="dxa" w:w="922"/>
            <w:gridSpan w:val="2"/>
            <w:vMerge/>
          </w:tcPr>
          <w:p/>
        </w:tc>
        <w:tc>
          <w:tcPr>
            <w:tcW w:type="dxa" w:w="2307"/>
          </w:tcPr>
          <w:p>
            <w:pPr>
              <w:jc w:val="left"/>
            </w:pPr>
            <w:r>
              <w:rPr/>
              <w:t>质量保障方案（一） (3.0分)</w:t>
            </w:r>
            <w:r>
              <w:rPr/>
              <w:t>，（等次分值选择：</w:t>
            </w:r>
            <w:r>
              <w:rPr/>
              <w:t>0.0;</w:t>
            </w:r>
            <w:r>
              <w:rPr/>
              <w:t>3.0;</w:t>
            </w:r>
            <w:r>
              <w:rPr/>
              <w:t>）</w:t>
            </w:r>
          </w:p>
        </w:tc>
        <w:tc>
          <w:tcPr>
            <w:tcW w:type="dxa" w:w="5076"/>
          </w:tcPr>
          <w:p>
            <w:pPr>
              <w:jc w:val="left"/>
            </w:pPr>
            <w:r>
              <w:rPr/>
              <w:t>投标人根据本项目情况提供的质量保障方案（包括但不限于储存、运输环节的质量保证措施和货物质量保障应急机制、质量检测等方面），能提供以上内容的，得3分；不提供的得0分，且不能参与“质量保障方案（二）”项的评分。</w:t>
            </w:r>
          </w:p>
        </w:tc>
      </w:tr>
      <w:tr>
        <w:tc>
          <w:tcPr>
            <w:tcW w:type="dxa" w:w="922"/>
            <w:gridSpan w:val="2"/>
            <w:vMerge/>
          </w:tcPr>
          <w:p/>
        </w:tc>
        <w:tc>
          <w:tcPr>
            <w:tcW w:type="dxa" w:w="2307"/>
          </w:tcPr>
          <w:p>
            <w:pPr>
              <w:jc w:val="left"/>
            </w:pPr>
            <w:r>
              <w:rPr/>
              <w:t>质量保障方案（二） (12.0分)</w:t>
            </w:r>
            <w:r>
              <w:rPr/>
              <w:t>，（等次分值选择：</w:t>
            </w:r>
            <w:r>
              <w:rPr/>
              <w:t>0.0;</w:t>
            </w:r>
            <w:r>
              <w:rPr/>
              <w:t>4.0;</w:t>
            </w:r>
            <w:r>
              <w:rPr/>
              <w:t>8.0;</w:t>
            </w:r>
            <w:r>
              <w:rPr/>
              <w:t>12.0;</w:t>
            </w:r>
            <w:r>
              <w:rPr/>
              <w:t>）</w:t>
            </w:r>
          </w:p>
        </w:tc>
        <w:tc>
          <w:tcPr>
            <w:tcW w:type="dxa" w:w="5076"/>
          </w:tcPr>
          <w:p>
            <w:pPr>
              <w:jc w:val="left"/>
            </w:pPr>
            <w:r>
              <w:rPr/>
              <w:t>根据投标人提供的“质量保障方案（二）”内容进行综合评审： （1）质量保障方案全面、具体、有针对性，完全满足采购要求，得12分； （2）质量保障方案比较全面、具体，比较有针对性，满足采购要求，得8分； （3）质量保障方案不够全面、具体，针对性较差，部分满足采购要求，得4分； （4）其它或不满足本项目用户需求，不得分。</w:t>
            </w:r>
          </w:p>
        </w:tc>
      </w:tr>
      <w:tr>
        <w:tc>
          <w:tcPr>
            <w:tcW w:type="dxa" w:w="922"/>
            <w:gridSpan w:val="2"/>
            <w:vMerge w:val="restart"/>
          </w:tcPr>
          <w:p>
            <w:pPr>
              <w:jc w:val="center"/>
            </w:pPr>
            <w:r>
              <w:rPr/>
              <w:t>商务部分</w:t>
            </w:r>
          </w:p>
        </w:tc>
        <w:tc>
          <w:tcPr>
            <w:tcW w:type="dxa" w:w="2307"/>
          </w:tcPr>
          <w:p>
            <w:pPr>
              <w:jc w:val="left"/>
            </w:pPr>
            <w:r>
              <w:rPr/>
              <w:t>商务条款响应程度 (5.0分)</w:t>
            </w:r>
            <w:r>
              <w:rPr/>
              <w:t>，（等次分值选择：</w:t>
            </w:r>
            <w:r>
              <w:rPr/>
              <w:t>0.0;</w:t>
            </w:r>
            <w:r>
              <w:rPr/>
              <w:t>3.0;</w:t>
            </w:r>
            <w:r>
              <w:rPr/>
              <w:t>5.0;</w:t>
            </w:r>
            <w:r>
              <w:rPr/>
              <w:t>）</w:t>
            </w:r>
          </w:p>
        </w:tc>
        <w:tc>
          <w:tcPr>
            <w:tcW w:type="dxa" w:w="5076"/>
          </w:tcPr>
          <w:p>
            <w:pPr>
              <w:jc w:val="left"/>
            </w:pPr>
            <w:r>
              <w:rPr/>
              <w:t>根据投标人的“主要商务要求”条款响应程度，进行评审： （1）优于招标文件要求的，得5分； （2）全部满足招标文件要求的，得3分； （3）其他情况不得分。</w:t>
            </w:r>
          </w:p>
        </w:tc>
      </w:tr>
      <w:tr>
        <w:tc>
          <w:tcPr>
            <w:tcW w:type="dxa" w:w="922"/>
            <w:gridSpan w:val="2"/>
            <w:vMerge/>
          </w:tcPr>
          <w:p/>
        </w:tc>
        <w:tc>
          <w:tcPr>
            <w:tcW w:type="dxa" w:w="2307"/>
          </w:tcPr>
          <w:p>
            <w:pPr>
              <w:jc w:val="left"/>
            </w:pPr>
            <w:r>
              <w:rPr/>
              <w:t>同类项目业绩 (6.0分)</w:t>
            </w:r>
            <w:r>
              <w:rPr/>
              <w:t>，（等次分值选择：</w:t>
            </w:r>
            <w:r>
              <w:rPr/>
              <w:t>0.0;</w:t>
            </w:r>
            <w:r>
              <w:rPr/>
              <w:t>1.0;</w:t>
            </w:r>
            <w:r>
              <w:rPr/>
              <w:t>2.0;</w:t>
            </w:r>
            <w:r>
              <w:rPr/>
              <w:t>3.0;</w:t>
            </w:r>
            <w:r>
              <w:rPr/>
              <w:t>4.0;</w:t>
            </w:r>
            <w:r>
              <w:rPr/>
              <w:t>5.0;</w:t>
            </w:r>
            <w:r>
              <w:rPr/>
              <w:t>6.0;</w:t>
            </w:r>
            <w:r>
              <w:rPr/>
              <w:t>）</w:t>
            </w:r>
          </w:p>
        </w:tc>
        <w:tc>
          <w:tcPr>
            <w:tcW w:type="dxa" w:w="5076"/>
          </w:tcPr>
          <w:p>
            <w:pPr>
              <w:jc w:val="left"/>
            </w:pPr>
            <w:r>
              <w:rPr/>
              <w:t>投标人自2021年1月1日至今（以合同签订时间为准），完成同类项目业绩情况，每提供一项得1分，最高得6分。 注：需提供合同关键页（包含项目名称、合同标的或设备清单、双方签字盖章页及合同签订日期等内容）复印件，否则不得分。</w:t>
            </w:r>
          </w:p>
        </w:tc>
      </w:tr>
      <w:tr>
        <w:tc>
          <w:tcPr>
            <w:tcW w:type="dxa" w:w="922"/>
            <w:gridSpan w:val="2"/>
            <w:vMerge/>
          </w:tcPr>
          <w:p/>
        </w:tc>
        <w:tc>
          <w:tcPr>
            <w:tcW w:type="dxa" w:w="2307"/>
          </w:tcPr>
          <w:p>
            <w:pPr>
              <w:jc w:val="left"/>
            </w:pPr>
            <w:r>
              <w:rPr/>
              <w:t>技术人员配备情况 (5.0分)</w:t>
            </w:r>
            <w:r>
              <w:rPr/>
              <w:t>，（等次分值选择：</w:t>
            </w:r>
            <w:r>
              <w:rPr/>
              <w:t>0.0;</w:t>
            </w:r>
            <w:r>
              <w:rPr/>
              <w:t>1.0;</w:t>
            </w:r>
            <w:r>
              <w:rPr/>
              <w:t>3.0;</w:t>
            </w:r>
            <w:r>
              <w:rPr/>
              <w:t>5.0;</w:t>
            </w:r>
            <w:r>
              <w:rPr/>
              <w:t>）</w:t>
            </w:r>
          </w:p>
        </w:tc>
        <w:tc>
          <w:tcPr>
            <w:tcW w:type="dxa" w:w="5076"/>
          </w:tcPr>
          <w:p>
            <w:pPr>
              <w:jc w:val="left"/>
            </w:pPr>
            <w:r>
              <w:rPr/>
              <w:t>根据投标人拟投入本项目的相关专业技术人员情况进行评审： （1）人员配置专业及岗位设置合理，有利于本项目实施的，得5分； （2）人员配置专业及岗位设置较合理，较利于本项目实施的，得3分； （3）人员配置专业及岗位设置基本合理，不利于本项目实施的，得1分； （4）其他情况不得分。 注：需提供相关专业技术人员名单及近6个月其中任意一个月单位为其缴纳的社保证明材料或劳动合同复印件，否则不得分。</w:t>
            </w:r>
          </w:p>
        </w:tc>
      </w:tr>
      <w:tr>
        <w:tc>
          <w:tcPr>
            <w:tcW w:type="dxa" w:w="922"/>
            <w:gridSpan w:val="2"/>
            <w:vMerge/>
          </w:tcPr>
          <w:p/>
        </w:tc>
        <w:tc>
          <w:tcPr>
            <w:tcW w:type="dxa" w:w="2307"/>
          </w:tcPr>
          <w:p>
            <w:pPr>
              <w:jc w:val="left"/>
            </w:pPr>
            <w:r>
              <w:rPr/>
              <w:t>体系认证证书 (3.0分)</w:t>
            </w:r>
            <w:r>
              <w:rPr/>
              <w:t>，（等次分值选择：</w:t>
            </w:r>
            <w:r>
              <w:rPr/>
              <w:t>0.0;</w:t>
            </w:r>
            <w:r>
              <w:rPr/>
              <w:t>1.0;</w:t>
            </w:r>
            <w:r>
              <w:rPr/>
              <w:t>2.0;</w:t>
            </w:r>
            <w:r>
              <w:rPr/>
              <w:t>3.0;</w:t>
            </w:r>
            <w:r>
              <w:rPr/>
              <w:t>）</w:t>
            </w:r>
          </w:p>
        </w:tc>
        <w:tc>
          <w:tcPr>
            <w:tcW w:type="dxa" w:w="5076"/>
          </w:tcPr>
          <w:p>
            <w:pPr>
              <w:jc w:val="left"/>
            </w:pPr>
            <w:r>
              <w:rPr/>
              <w:t>投标人具有有效期内的质量管理体系认证证书、环境管理体系认证证书、职业健康安全管理体系认证证书的，每提供一个证书得1分，最高得3分。 注：需提供证书复印件，并须同时提供在“全国认证认可信息公共服务平台”对体系证书的信息查询截图作为评审依据，已失效或撤销的不得分。上述证书如因成立时间不足三个月原因未能获得的，可对应得分。</w:t>
            </w:r>
          </w:p>
        </w:tc>
      </w:tr>
      <w:tr>
        <w:tc>
          <w:tcPr>
            <w:tcW w:type="dxa" w:w="922"/>
            <w:gridSpan w:val="2"/>
            <w:vMerge/>
          </w:tcPr>
          <w:p/>
        </w:tc>
        <w:tc>
          <w:tcPr>
            <w:tcW w:type="dxa" w:w="2307"/>
          </w:tcPr>
          <w:p>
            <w:pPr>
              <w:jc w:val="left"/>
            </w:pPr>
            <w:r>
              <w:rPr/>
              <w:t>售后服务和培训方案（一） (1.0分)</w:t>
            </w:r>
            <w:r>
              <w:rPr/>
              <w:t>，（等次分值选择：</w:t>
            </w:r>
            <w:r>
              <w:rPr/>
              <w:t>0.0;</w:t>
            </w:r>
            <w:r>
              <w:rPr/>
              <w:t>1.0;</w:t>
            </w:r>
            <w:r>
              <w:rPr/>
              <w:t>）</w:t>
            </w:r>
          </w:p>
        </w:tc>
        <w:tc>
          <w:tcPr>
            <w:tcW w:type="dxa" w:w="5076"/>
          </w:tcPr>
          <w:p>
            <w:pPr>
              <w:jc w:val="left"/>
            </w:pPr>
            <w:r>
              <w:rPr/>
              <w:t>投标人根据本项目情况提供的售后服务方案（包括但不限于破损产品退换、保修服务范围、服务能力、服务标准、售后服务承诺等方面）和培训服务方案（包括但不限于设备的基本原理、安装、调试、操作使用和日常保养维修培训等方面），能提供以上内容的，得1分；不提供的得0分，且不能参与“售后服务和培训方案（二）”项的评分。</w:t>
            </w:r>
          </w:p>
        </w:tc>
      </w:tr>
      <w:tr>
        <w:tc>
          <w:tcPr>
            <w:tcW w:type="dxa" w:w="922"/>
            <w:gridSpan w:val="2"/>
            <w:vMerge/>
          </w:tcPr>
          <w:p/>
        </w:tc>
        <w:tc>
          <w:tcPr>
            <w:tcW w:type="dxa" w:w="2307"/>
          </w:tcPr>
          <w:p>
            <w:pPr>
              <w:jc w:val="left"/>
            </w:pPr>
            <w:r>
              <w:rPr/>
              <w:t>售后服务和培训方案（二） (5.0分)</w:t>
            </w:r>
            <w:r>
              <w:rPr/>
              <w:t>，（等次分值选择：</w:t>
            </w:r>
            <w:r>
              <w:rPr/>
              <w:t>0.0;</w:t>
            </w:r>
            <w:r>
              <w:rPr/>
              <w:t>1.0;</w:t>
            </w:r>
            <w:r>
              <w:rPr/>
              <w:t>3.0;</w:t>
            </w:r>
            <w:r>
              <w:rPr/>
              <w:t>5.0;</w:t>
            </w:r>
            <w:r>
              <w:rPr/>
              <w:t>）</w:t>
            </w:r>
          </w:p>
        </w:tc>
        <w:tc>
          <w:tcPr>
            <w:tcW w:type="dxa" w:w="5076"/>
          </w:tcPr>
          <w:p>
            <w:pPr>
              <w:jc w:val="left"/>
            </w:pPr>
            <w:r>
              <w:rPr/>
              <w:t>根据投标人提供的“售后服务和培训方案（一）”内容进行综合评审： （1）售后服务和培训方案详细、完整、科学、合理、可行性高，完全满足采购要求的，得5分； （2）售后服务和培训方案比较详细、完整、科学、合理，可行性较高，满足采购要求的，得3分； （3）售后服务和培训方案不够详细、完整、科学、合理，可行性较差，部分满足采购要求的，得1分； （4）其它或不满足本项目用户需求，不得分。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
    <w:p>
      <w:pPr>
        <w:jc w:val="center"/>
      </w:pPr>
      <w:r>
        <w:rPr>
          <w:b/>
          <w:sz w:val="38"/>
        </w:rPr>
        <w:t>广东省政府采</w:t>
      </w:r>
      <w:r>
        <w:rPr>
          <w:b/>
          <w:sz w:val="38"/>
        </w:rPr>
        <w:t>购</w:t>
      </w:r>
    </w:p>
    <w:p>
      <w:pPr>
        <w:jc w:val="center"/>
      </w:pPr>
      <w:r>
        <w:rPr>
          <w:b/>
          <w:sz w:val="38"/>
        </w:rPr>
        <w:t>合同书</w:t>
      </w:r>
    </w:p>
    <w:p/>
    <w:p/>
    <w:p/>
    <w:p/>
    <w:p/>
    <w:p/>
    <w:p/>
    <w:p>
      <w:pPr>
        <w:ind w:firstLine="1103"/>
      </w:pPr>
      <w:r>
        <w:rPr>
          <w:b/>
          <w:sz w:val="24"/>
        </w:rPr>
        <w:t>采购计划编号：</w:t>
      </w:r>
      <w:r>
        <w:rPr>
          <w:b/>
          <w:sz w:val="19"/>
          <w:u w:val="single"/>
        </w:rPr>
        <w:t xml:space="preserve"> </w:t>
      </w:r>
      <w:r>
        <w:rPr>
          <w:b/>
          <w:sz w:val="19"/>
          <w:u w:val="single"/>
        </w:rPr>
        <w:t xml:space="preserve">                                                      </w:t>
      </w:r>
    </w:p>
    <w:p>
      <w:pPr>
        <w:ind w:firstLine="1103"/>
      </w:pPr>
      <w:r>
        <w:rPr>
          <w:b/>
          <w:sz w:val="24"/>
        </w:rPr>
        <w:t>项目编号：</w:t>
      </w:r>
      <w:r>
        <w:rPr>
          <w:b/>
          <w:sz w:val="19"/>
          <w:u w:val="single"/>
        </w:rPr>
        <w:t xml:space="preserve"> </w:t>
      </w:r>
      <w:r>
        <w:rPr>
          <w:b/>
          <w:sz w:val="19"/>
          <w:u w:val="single"/>
        </w:rPr>
        <w:t xml:space="preserve">                                                          </w:t>
      </w:r>
      <w:r>
        <w:rPr>
          <w:b/>
          <w:sz w:val="19"/>
        </w:rPr>
        <w:t xml:space="preserve"> </w:t>
      </w:r>
      <w:r>
        <w:rPr>
          <w:b/>
          <w:sz w:val="19"/>
        </w:rPr>
        <w:t xml:space="preserve"> </w:t>
      </w:r>
    </w:p>
    <w:p>
      <w:pPr>
        <w:ind w:firstLine="1103"/>
      </w:pPr>
      <w:r>
        <w:rPr>
          <w:b/>
          <w:sz w:val="24"/>
        </w:rPr>
        <w:t>项目名称：</w:t>
      </w:r>
      <w:r>
        <w:rPr>
          <w:b/>
          <w:sz w:val="19"/>
          <w:u w:val="single"/>
        </w:rPr>
        <w:t xml:space="preserve"> </w:t>
      </w:r>
      <w:r>
        <w:rPr>
          <w:b/>
          <w:sz w:val="19"/>
          <w:u w:val="single"/>
        </w:rPr>
        <w:t xml:space="preserve">                                                    </w:t>
      </w:r>
      <w:r>
        <w:rPr>
          <w:sz w:val="19"/>
          <w:u w:val="single"/>
        </w:rPr>
        <w:t xml:space="preserve">     </w:t>
      </w:r>
    </w:p>
    <w:p>
      <w:pPr>
        <w:jc w:val="center"/>
      </w:pPr>
    </w:p>
    <w:p>
      <w:pPr>
        <w:jc w:val="center"/>
      </w:pPr>
    </w:p>
    <w:p>
      <w:pPr>
        <w:jc w:val="center"/>
      </w:pPr>
    </w:p>
    <w:p>
      <w:pPr>
        <w:jc w:val="center"/>
      </w:pPr>
    </w:p>
    <w:p>
      <w:pPr>
        <w:jc w:val="center"/>
      </w:pPr>
    </w:p>
    <w:p>
      <w:pPr>
        <w:jc w:val="center"/>
      </w:pPr>
    </w:p>
    <w:p/>
    <w:p>
      <w:pPr>
        <w:jc w:val="center"/>
      </w:pPr>
      <w:r>
        <w:rPr>
          <w:b/>
          <w:sz w:val="44"/>
        </w:rPr>
        <w:t>教学科研设备采购合同（国内货物）</w:t>
      </w:r>
    </w:p>
    <w:p>
      <w:r>
        <w:rPr/>
        <w:t xml:space="preserve"> </w:t>
      </w:r>
    </w:p>
    <w:p>
      <w:pPr>
        <w:jc w:val="center"/>
      </w:pPr>
      <w:r>
        <w:rPr>
          <w:b/>
          <w:sz w:val="22"/>
        </w:rPr>
        <w:t>[合同类型：□政府采购；□学校集中采购；□用户部门零散采购；□科研绿色；□教育部门协议]</w:t>
      </w:r>
    </w:p>
    <w:p>
      <w:r>
        <w:rPr>
          <w:sz w:val="24"/>
        </w:rPr>
        <w:t>甲方（业主）：广东工业大学</w:t>
      </w:r>
      <w:r>
        <w:rPr>
          <w:sz w:val="22"/>
        </w:rPr>
        <w:t xml:space="preserve">                              </w:t>
      </w:r>
    </w:p>
    <w:p>
      <w:r>
        <w:rPr>
          <w:sz w:val="24"/>
        </w:rPr>
        <w:t>乙方（中标人）：</w:t>
      </w:r>
      <w:r>
        <w:rPr>
          <w:sz w:val="22"/>
          <w:u w:val="single"/>
        </w:rPr>
        <w:t xml:space="preserve">               </w:t>
      </w:r>
      <w:r>
        <w:rPr>
          <w:sz w:val="24"/>
        </w:rPr>
        <w:t>公司</w:t>
      </w:r>
      <w:r>
        <w:rPr>
          <w:sz w:val="24"/>
        </w:rPr>
        <w:t xml:space="preserve">                      </w:t>
      </w:r>
    </w:p>
    <w:p>
      <w:r>
        <w:rPr>
          <w:sz w:val="24"/>
        </w:rPr>
        <w:t>签订地点：广州市</w:t>
      </w:r>
    </w:p>
    <w:p>
      <w:pPr>
        <w:ind w:firstLine="440"/>
      </w:pPr>
      <w:r>
        <w:rPr>
          <w:sz w:val="22"/>
        </w:rPr>
        <w:t>根据</w:t>
      </w:r>
      <w:r>
        <w:rPr>
          <w:sz w:val="22"/>
          <w:u w:val="single"/>
        </w:rPr>
        <w:t>***招标/采购机构的*****项目的</w:t>
      </w:r>
      <w:r>
        <w:rPr>
          <w:sz w:val="22"/>
        </w:rPr>
        <w:t>招标</w:t>
      </w:r>
      <w:r>
        <w:rPr>
          <w:sz w:val="22"/>
        </w:rPr>
        <w:t>/采购文件[编号</w:t>
      </w:r>
      <w:r>
        <w:rPr>
          <w:sz w:val="22"/>
          <w:u w:val="single"/>
        </w:rPr>
        <w:t>****]</w:t>
      </w:r>
      <w:r>
        <w:rPr>
          <w:sz w:val="22"/>
        </w:rPr>
        <w:t>、乙方针对该项目的投标</w:t>
      </w:r>
      <w:r>
        <w:rPr>
          <w:sz w:val="22"/>
        </w:rPr>
        <w:t>/响应文件及</w:t>
      </w:r>
      <w:r>
        <w:rPr>
          <w:sz w:val="22"/>
          <w:u w:val="single"/>
        </w:rPr>
        <w:t>20</w:t>
      </w:r>
      <w:r>
        <w:rPr>
          <w:sz w:val="22"/>
          <w:u w:val="single"/>
        </w:rPr>
        <w:t xml:space="preserve">  </w:t>
      </w:r>
      <w:r>
        <w:rPr>
          <w:sz w:val="22"/>
          <w:u w:val="single"/>
        </w:rPr>
        <w:t>年</w:t>
      </w:r>
      <w:r>
        <w:rPr>
          <w:sz w:val="22"/>
          <w:u w:val="single"/>
        </w:rPr>
        <w:t xml:space="preserve"> </w:t>
      </w:r>
      <w:r>
        <w:rPr>
          <w:sz w:val="22"/>
          <w:u w:val="single"/>
        </w:rPr>
        <w:t>月</w:t>
      </w:r>
      <w:r>
        <w:rPr>
          <w:sz w:val="22"/>
          <w:u w:val="single"/>
        </w:rPr>
        <w:t xml:space="preserve">  </w:t>
      </w:r>
      <w:r>
        <w:rPr>
          <w:sz w:val="22"/>
          <w:u w:val="single"/>
        </w:rPr>
        <w:t>日的</w:t>
      </w:r>
      <w:r>
        <w:rPr>
          <w:sz w:val="22"/>
        </w:rPr>
        <w:t>中标</w:t>
      </w:r>
      <w:r>
        <w:rPr>
          <w:sz w:val="22"/>
        </w:rPr>
        <w:t>/成交结果通知书，按照中华人民共和国[</w:t>
      </w:r>
      <w:r>
        <w:rPr>
          <w:sz w:val="24"/>
        </w:rPr>
        <w:t>R</w:t>
      </w:r>
      <w:r>
        <w:rPr>
          <w:sz w:val="22"/>
        </w:rPr>
        <w:t>《民法典》；</w:t>
      </w:r>
      <w:r>
        <w:rPr>
          <w:b/>
          <w:sz w:val="24"/>
        </w:rPr>
        <w:t>□</w:t>
      </w:r>
      <w:r>
        <w:rPr>
          <w:sz w:val="22"/>
        </w:rPr>
        <w:t>《政府采购法》</w:t>
      </w:r>
      <w:r>
        <w:rPr>
          <w:sz w:val="22"/>
        </w:rPr>
        <w:t>]的规定，本着平等互利和诚实信用的原则，</w:t>
      </w:r>
      <w:r>
        <w:rPr>
          <w:sz w:val="22"/>
        </w:rPr>
        <w:t>一致同意签订本合同</w:t>
      </w:r>
      <w:r>
        <w:rPr>
          <w:sz w:val="22"/>
        </w:rPr>
        <w:t>。</w:t>
      </w:r>
    </w:p>
    <w:p>
      <w:r>
        <w:rPr>
          <w:b/>
          <w:sz w:val="28"/>
        </w:rPr>
        <w:t>一、货物</w:t>
      </w:r>
      <w:r>
        <w:rPr>
          <w:b/>
          <w:sz w:val="28"/>
        </w:rPr>
        <w:t>及价格</w:t>
      </w:r>
      <w:r>
        <w:rPr>
          <w:b/>
          <w:sz w:val="28"/>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612"/>
        <w:gridCol w:w="1463"/>
        <w:gridCol w:w="1463"/>
        <w:gridCol w:w="1350"/>
        <w:gridCol w:w="600"/>
        <w:gridCol w:w="600"/>
        <w:gridCol w:w="1013"/>
        <w:gridCol w:w="1175"/>
      </w:tblGrid>
      <w:tr>
        <w:tc>
          <w:tcPr>
            <w:tcW w:type="dxa" w:w="612"/>
            <w:tcBorders>
              <w:top w:val="double" w:color="000000" w:sz="4"/>
              <w:left w:val="double" w:color="000000" w:sz="4"/>
              <w:bottom w:val="single" w:color="000000" w:sz="4"/>
              <w:right w:val="single" w:color="000000" w:sz="4"/>
            </w:tcBorders>
            <w:vAlign w:val="top"/>
          </w:tcPr>
          <w:p>
            <w:pPr>
              <w:jc w:val="center"/>
            </w:pPr>
            <w:r>
              <w:rPr>
                <w:b/>
                <w:sz w:val="22"/>
              </w:rPr>
              <w:t>序号</w:t>
            </w:r>
          </w:p>
        </w:tc>
        <w:tc>
          <w:tcPr>
            <w:tcW w:type="dxa" w:w="1463"/>
            <w:tcBorders>
              <w:top w:val="double" w:color="000000" w:sz="4"/>
              <w:left w:val="none" w:color="000000" w:sz="4"/>
              <w:bottom w:val="single" w:color="000000" w:sz="4"/>
              <w:right w:val="single" w:color="000000" w:sz="4"/>
            </w:tcBorders>
            <w:vAlign w:val="top"/>
          </w:tcPr>
          <w:p>
            <w:pPr>
              <w:jc w:val="center"/>
            </w:pPr>
            <w:r>
              <w:rPr>
                <w:b/>
                <w:sz w:val="22"/>
              </w:rPr>
              <w:t>货物名称</w:t>
            </w:r>
          </w:p>
        </w:tc>
        <w:tc>
          <w:tcPr>
            <w:tcW w:type="dxa" w:w="1463"/>
            <w:tcBorders>
              <w:top w:val="double" w:color="000000" w:sz="4"/>
              <w:left w:val="none" w:color="000000" w:sz="4"/>
              <w:bottom w:val="single" w:color="000000" w:sz="4"/>
              <w:right w:val="single" w:color="000000" w:sz="4"/>
            </w:tcBorders>
            <w:vAlign w:val="top"/>
          </w:tcPr>
          <w:p>
            <w:pPr>
              <w:jc w:val="center"/>
            </w:pPr>
            <w:r>
              <w:rPr>
                <w:b/>
                <w:sz w:val="22"/>
              </w:rPr>
              <w:t>型号</w:t>
            </w:r>
            <w:r>
              <w:rPr>
                <w:b/>
                <w:sz w:val="22"/>
              </w:rPr>
              <w:t>/规格</w:t>
            </w:r>
          </w:p>
        </w:tc>
        <w:tc>
          <w:tcPr>
            <w:tcW w:type="dxa" w:w="1350"/>
            <w:tcBorders>
              <w:top w:val="double" w:color="000000" w:sz="4"/>
              <w:left w:val="none" w:color="000000" w:sz="4"/>
              <w:bottom w:val="single" w:color="000000" w:sz="4"/>
              <w:right w:val="single" w:color="000000" w:sz="4"/>
            </w:tcBorders>
            <w:vAlign w:val="top"/>
          </w:tcPr>
          <w:p>
            <w:pPr>
              <w:jc w:val="center"/>
            </w:pPr>
            <w:r>
              <w:rPr>
                <w:b/>
                <w:sz w:val="22"/>
              </w:rPr>
              <w:t>制造商</w:t>
            </w:r>
            <w:r>
              <w:rPr>
                <w:b/>
                <w:sz w:val="22"/>
              </w:rPr>
              <w:t>/产地</w:t>
            </w:r>
          </w:p>
        </w:tc>
        <w:tc>
          <w:tcPr>
            <w:tcW w:type="dxa" w:w="600"/>
            <w:tcBorders>
              <w:top w:val="double" w:color="000000" w:sz="4"/>
              <w:left w:val="none" w:color="000000" w:sz="4"/>
              <w:bottom w:val="single" w:color="000000" w:sz="4"/>
              <w:right w:val="single" w:color="000000" w:sz="4"/>
            </w:tcBorders>
            <w:vAlign w:val="top"/>
          </w:tcPr>
          <w:p>
            <w:pPr>
              <w:jc w:val="center"/>
            </w:pPr>
            <w:r>
              <w:rPr>
                <w:b/>
                <w:sz w:val="22"/>
              </w:rPr>
              <w:t>数量</w:t>
            </w:r>
          </w:p>
        </w:tc>
        <w:tc>
          <w:tcPr>
            <w:tcW w:type="dxa" w:w="600"/>
            <w:tcBorders>
              <w:top w:val="double" w:color="000000" w:sz="4"/>
              <w:left w:val="none" w:color="000000" w:sz="4"/>
              <w:bottom w:val="single" w:color="000000" w:sz="4"/>
              <w:right w:val="single" w:color="000000" w:sz="4"/>
            </w:tcBorders>
            <w:vAlign w:val="top"/>
          </w:tcPr>
          <w:p>
            <w:pPr>
              <w:jc w:val="center"/>
            </w:pPr>
            <w:r>
              <w:rPr>
                <w:b/>
                <w:sz w:val="22"/>
              </w:rPr>
              <w:t>单位</w:t>
            </w:r>
          </w:p>
        </w:tc>
        <w:tc>
          <w:tcPr>
            <w:tcW w:type="dxa" w:w="1013"/>
            <w:tcBorders>
              <w:top w:val="double" w:color="000000" w:sz="4"/>
              <w:left w:val="none" w:color="000000" w:sz="4"/>
              <w:bottom w:val="single" w:color="000000" w:sz="4"/>
              <w:right w:val="single" w:color="000000" w:sz="4"/>
            </w:tcBorders>
            <w:vAlign w:val="top"/>
          </w:tcPr>
          <w:p>
            <w:pPr>
              <w:jc w:val="center"/>
            </w:pPr>
            <w:r>
              <w:rPr>
                <w:b/>
                <w:sz w:val="22"/>
              </w:rPr>
              <w:t>单价</w:t>
            </w:r>
            <w:r>
              <w:rPr>
                <w:b/>
                <w:sz w:val="22"/>
              </w:rPr>
              <w:t>(元)</w:t>
            </w:r>
          </w:p>
        </w:tc>
        <w:tc>
          <w:tcPr>
            <w:tcW w:type="dxa" w:w="1175"/>
            <w:tcBorders>
              <w:top w:val="double" w:color="000000" w:sz="4"/>
              <w:left w:val="none" w:color="000000" w:sz="4"/>
              <w:bottom w:val="single" w:color="000000" w:sz="4"/>
              <w:right w:val="double" w:color="000000" w:sz="4"/>
            </w:tcBorders>
            <w:vAlign w:val="top"/>
          </w:tcPr>
          <w:p>
            <w:pPr>
              <w:jc w:val="center"/>
            </w:pPr>
            <w:r>
              <w:rPr>
                <w:b/>
                <w:sz w:val="22"/>
              </w:rPr>
              <w:t>总价</w:t>
            </w:r>
            <w:r>
              <w:rPr>
                <w:b/>
                <w:sz w:val="22"/>
              </w:rPr>
              <w:t>(元)</w:t>
            </w:r>
          </w:p>
        </w:tc>
      </w:tr>
      <w:tr>
        <w:tc>
          <w:tcPr>
            <w:tcW w:type="dxa" w:w="612"/>
            <w:tcBorders>
              <w:top w:val="none" w:color="000000" w:sz="4"/>
              <w:left w:val="double" w:color="000000" w:sz="4"/>
              <w:bottom w:val="single" w:color="000000" w:sz="4"/>
              <w:right w:val="single" w:color="000000" w:sz="4"/>
            </w:tcBorders>
            <w:vAlign w:val="top"/>
          </w:tcPr>
          <w:p>
            <w:pPr>
              <w:jc w:val="center"/>
            </w:pPr>
          </w:p>
        </w:tc>
        <w:tc>
          <w:tcPr>
            <w:tcW w:type="dxa" w:w="1463"/>
            <w:tcBorders>
              <w:top w:val="none" w:color="000000" w:sz="4"/>
              <w:left w:val="none" w:color="000000" w:sz="4"/>
              <w:bottom w:val="single" w:color="000000" w:sz="4"/>
              <w:right w:val="single" w:color="000000" w:sz="4"/>
            </w:tcBorders>
            <w:vAlign w:val="top"/>
          </w:tcPr>
          <w:p>
            <w:pPr>
              <w:jc w:val="center"/>
            </w:pPr>
          </w:p>
        </w:tc>
        <w:tc>
          <w:tcPr>
            <w:tcW w:type="dxa" w:w="1463"/>
            <w:tcBorders>
              <w:top w:val="none" w:color="000000" w:sz="4"/>
              <w:left w:val="none" w:color="000000" w:sz="4"/>
              <w:bottom w:val="single" w:color="000000" w:sz="4"/>
              <w:right w:val="single" w:color="000000" w:sz="4"/>
            </w:tcBorders>
            <w:vAlign w:val="top"/>
          </w:tcPr>
          <w:p>
            <w:pPr>
              <w:jc w:val="center"/>
            </w:pPr>
          </w:p>
        </w:tc>
        <w:tc>
          <w:tcPr>
            <w:tcW w:type="dxa" w:w="1350"/>
            <w:tcBorders>
              <w:top w:val="none" w:color="000000" w:sz="4"/>
              <w:left w:val="none" w:color="000000" w:sz="4"/>
              <w:bottom w:val="single" w:color="000000" w:sz="4"/>
              <w:right w:val="single" w:color="000000" w:sz="4"/>
            </w:tcBorders>
            <w:vAlign w:val="top"/>
          </w:tcPr>
          <w:p>
            <w:pPr>
              <w:jc w:val="center"/>
            </w:pP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1013"/>
            <w:tcBorders>
              <w:top w:val="none" w:color="000000" w:sz="4"/>
              <w:left w:val="none" w:color="000000" w:sz="4"/>
              <w:bottom w:val="single" w:color="000000" w:sz="4"/>
              <w:right w:val="single" w:color="000000" w:sz="4"/>
            </w:tcBorders>
            <w:vAlign w:val="top"/>
          </w:tcPr>
          <w:p>
            <w:pPr>
              <w:jc w:val="center"/>
            </w:pPr>
          </w:p>
        </w:tc>
        <w:tc>
          <w:tcPr>
            <w:tcW w:type="dxa" w:w="1175"/>
            <w:tcBorders>
              <w:top w:val="none" w:color="000000" w:sz="4"/>
              <w:left w:val="none" w:color="000000" w:sz="4"/>
              <w:bottom w:val="single" w:color="000000" w:sz="4"/>
              <w:right w:val="double" w:color="000000" w:sz="4"/>
            </w:tcBorders>
            <w:vAlign w:val="top"/>
          </w:tcPr>
          <w:p>
            <w:pPr>
              <w:jc w:val="center"/>
            </w:pPr>
          </w:p>
        </w:tc>
      </w:tr>
      <w:tr>
        <w:tc>
          <w:tcPr>
            <w:tcW w:type="dxa" w:w="612"/>
            <w:tcBorders>
              <w:top w:val="none" w:color="000000" w:sz="4"/>
              <w:left w:val="double" w:color="000000" w:sz="4"/>
              <w:bottom w:val="single" w:color="000000" w:sz="4"/>
              <w:right w:val="single" w:color="000000" w:sz="4"/>
            </w:tcBorders>
            <w:vAlign w:val="top"/>
          </w:tcPr>
          <w:p>
            <w:pPr>
              <w:jc w:val="center"/>
            </w:pPr>
          </w:p>
        </w:tc>
        <w:tc>
          <w:tcPr>
            <w:tcW w:type="dxa" w:w="1463"/>
            <w:tcBorders>
              <w:top w:val="none" w:color="000000" w:sz="4"/>
              <w:left w:val="none" w:color="000000" w:sz="4"/>
              <w:bottom w:val="single" w:color="000000" w:sz="4"/>
              <w:right w:val="single" w:color="000000" w:sz="4"/>
            </w:tcBorders>
            <w:vAlign w:val="top"/>
          </w:tcPr>
          <w:p>
            <w:pPr>
              <w:jc w:val="center"/>
            </w:pPr>
          </w:p>
        </w:tc>
        <w:tc>
          <w:tcPr>
            <w:tcW w:type="dxa" w:w="1463"/>
            <w:tcBorders>
              <w:top w:val="none" w:color="000000" w:sz="4"/>
              <w:left w:val="none" w:color="000000" w:sz="4"/>
              <w:bottom w:val="single" w:color="000000" w:sz="4"/>
              <w:right w:val="single" w:color="000000" w:sz="4"/>
            </w:tcBorders>
            <w:vAlign w:val="top"/>
          </w:tcPr>
          <w:p>
            <w:pPr>
              <w:jc w:val="center"/>
            </w:pPr>
          </w:p>
        </w:tc>
        <w:tc>
          <w:tcPr>
            <w:tcW w:type="dxa" w:w="1350"/>
            <w:tcBorders>
              <w:top w:val="none" w:color="000000" w:sz="4"/>
              <w:left w:val="none" w:color="000000" w:sz="4"/>
              <w:bottom w:val="single" w:color="000000" w:sz="4"/>
              <w:right w:val="single" w:color="000000" w:sz="4"/>
            </w:tcBorders>
            <w:vAlign w:val="top"/>
          </w:tcPr>
          <w:p>
            <w:pPr>
              <w:jc w:val="center"/>
            </w:pP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1013"/>
            <w:tcBorders>
              <w:top w:val="none" w:color="000000" w:sz="4"/>
              <w:left w:val="none" w:color="000000" w:sz="4"/>
              <w:bottom w:val="single" w:color="000000" w:sz="4"/>
              <w:right w:val="single" w:color="000000" w:sz="4"/>
            </w:tcBorders>
            <w:vAlign w:val="top"/>
          </w:tcPr>
          <w:p>
            <w:pPr>
              <w:jc w:val="center"/>
            </w:pPr>
          </w:p>
        </w:tc>
        <w:tc>
          <w:tcPr>
            <w:tcW w:type="dxa" w:w="1175"/>
            <w:tcBorders>
              <w:top w:val="none" w:color="000000" w:sz="4"/>
              <w:left w:val="none" w:color="000000" w:sz="4"/>
              <w:bottom w:val="single" w:color="000000" w:sz="4"/>
              <w:right w:val="double" w:color="000000" w:sz="4"/>
            </w:tcBorders>
            <w:vAlign w:val="top"/>
          </w:tcPr>
          <w:p>
            <w:pPr>
              <w:jc w:val="center"/>
            </w:pPr>
          </w:p>
        </w:tc>
      </w:tr>
      <w:tr>
        <w:tc>
          <w:tcPr>
            <w:tcW w:type="dxa" w:w="612"/>
            <w:tcBorders>
              <w:top w:val="single" w:color="000000" w:sz="4"/>
              <w:left w:val="double" w:color="000000" w:sz="4"/>
              <w:bottom w:val="single" w:color="000000" w:sz="4"/>
              <w:right w:val="single" w:color="000000" w:sz="4"/>
            </w:tcBorders>
            <w:vAlign w:val="top"/>
          </w:tcPr>
          <w:p>
            <w:pPr>
              <w:jc w:val="center"/>
            </w:pPr>
          </w:p>
        </w:tc>
        <w:tc>
          <w:tcPr>
            <w:tcW w:type="dxa" w:w="1463"/>
            <w:tcBorders>
              <w:top w:val="none" w:color="000000" w:sz="4"/>
              <w:left w:val="none" w:color="000000" w:sz="4"/>
              <w:bottom w:val="single" w:color="000000" w:sz="4"/>
              <w:right w:val="single" w:color="000000" w:sz="4"/>
            </w:tcBorders>
            <w:vAlign w:val="top"/>
          </w:tcPr>
          <w:p>
            <w:pPr>
              <w:jc w:val="center"/>
            </w:pPr>
          </w:p>
        </w:tc>
        <w:tc>
          <w:tcPr>
            <w:tcW w:type="dxa" w:w="1463"/>
            <w:tcBorders>
              <w:top w:val="none" w:color="000000" w:sz="4"/>
              <w:left w:val="none" w:color="000000" w:sz="4"/>
              <w:bottom w:val="single" w:color="000000" w:sz="4"/>
              <w:right w:val="single" w:color="000000" w:sz="4"/>
            </w:tcBorders>
            <w:vAlign w:val="top"/>
          </w:tcPr>
          <w:p>
            <w:pPr>
              <w:jc w:val="center"/>
            </w:pPr>
          </w:p>
        </w:tc>
        <w:tc>
          <w:tcPr>
            <w:tcW w:type="dxa" w:w="1350"/>
            <w:tcBorders>
              <w:top w:val="single" w:color="000000" w:sz="4"/>
              <w:left w:val="none" w:color="000000" w:sz="4"/>
              <w:bottom w:val="single" w:color="000000" w:sz="4"/>
              <w:right w:val="single" w:color="000000" w:sz="4"/>
            </w:tcBorders>
            <w:vAlign w:val="top"/>
          </w:tcPr>
          <w:p>
            <w:pPr>
              <w:jc w:val="center"/>
            </w:pP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600"/>
            <w:tcBorders>
              <w:top w:val="none" w:color="000000" w:sz="4"/>
              <w:left w:val="none" w:color="000000" w:sz="4"/>
              <w:bottom w:val="single" w:color="000000" w:sz="4"/>
              <w:right w:val="single" w:color="000000" w:sz="4"/>
            </w:tcBorders>
            <w:vAlign w:val="top"/>
          </w:tcPr>
          <w:p>
            <w:pPr>
              <w:jc w:val="center"/>
            </w:pPr>
          </w:p>
        </w:tc>
        <w:tc>
          <w:tcPr>
            <w:tcW w:type="dxa" w:w="1013"/>
            <w:tcBorders>
              <w:top w:val="none" w:color="000000" w:sz="4"/>
              <w:left w:val="none" w:color="000000" w:sz="4"/>
              <w:bottom w:val="single" w:color="000000" w:sz="4"/>
              <w:right w:val="single" w:color="000000" w:sz="4"/>
            </w:tcBorders>
            <w:vAlign w:val="top"/>
          </w:tcPr>
          <w:p>
            <w:pPr>
              <w:jc w:val="center"/>
            </w:pPr>
          </w:p>
        </w:tc>
        <w:tc>
          <w:tcPr>
            <w:tcW w:type="dxa" w:w="1175"/>
            <w:tcBorders>
              <w:top w:val="none" w:color="000000" w:sz="4"/>
              <w:left w:val="none" w:color="000000" w:sz="4"/>
              <w:bottom w:val="single" w:color="000000" w:sz="4"/>
              <w:right w:val="double" w:color="000000" w:sz="4"/>
            </w:tcBorders>
            <w:vAlign w:val="top"/>
          </w:tcPr>
          <w:p>
            <w:pPr>
              <w:jc w:val="center"/>
            </w:pPr>
          </w:p>
        </w:tc>
      </w:tr>
      <w:tr>
        <w:tc>
          <w:tcPr>
            <w:tcW w:type="dxa" w:w="8276"/>
            <w:gridSpan w:val="8"/>
            <w:tcBorders>
              <w:top w:val="none" w:color="000000" w:sz="4"/>
              <w:left w:val="double" w:color="000000" w:sz="4"/>
              <w:bottom w:val="double" w:color="000000" w:sz="4"/>
              <w:right w:val="double" w:color="000000" w:sz="4"/>
            </w:tcBorders>
            <w:vAlign w:val="top"/>
          </w:tcPr>
          <w:p>
            <w:r>
              <w:rPr>
                <w:b/>
                <w:sz w:val="22"/>
              </w:rPr>
              <w:t>总金额（人民币）：</w:t>
            </w:r>
            <w:r>
              <w:rPr>
                <w:b/>
                <w:sz w:val="22"/>
              </w:rPr>
              <w:t>*仟*佰*拾*万*仟*佰*拾*元整（</w:t>
            </w:r>
            <w:r>
              <w:rPr>
                <w:b/>
                <w:sz w:val="22"/>
              </w:rPr>
              <w:t>¥</w:t>
            </w:r>
            <w:r>
              <w:rPr>
                <w:b/>
                <w:sz w:val="22"/>
              </w:rPr>
              <w:t>*******）</w:t>
            </w:r>
          </w:p>
        </w:tc>
      </w:tr>
    </w:tbl>
    <w:p>
      <w:pPr>
        <w:ind w:firstLine="440"/>
      </w:pPr>
      <w:r>
        <w:rPr>
          <w:sz w:val="22"/>
        </w:rPr>
        <w:t>上述合同总金额为完成项目的全包价，包括但不限于</w:t>
      </w:r>
      <w:r>
        <w:rPr>
          <w:sz w:val="22"/>
        </w:rPr>
        <w:t>货物及零配件的购置和安装、运输保险、装卸、质保期售后服务、全额含税发票、雇员费用、合同实施过程中应预见和不可预见费用</w:t>
      </w:r>
      <w:r>
        <w:rPr>
          <w:sz w:val="22"/>
        </w:rPr>
        <w:t>、安装中的相关费用（包括安装过程中损耗、额外材料、设计费等）</w:t>
      </w:r>
      <w:r>
        <w:rPr>
          <w:sz w:val="22"/>
        </w:rPr>
        <w:t>。除合同明确约定的费用外，甲方无需支付任何额外费用和承担任何额外义务。</w:t>
      </w:r>
    </w:p>
    <w:p>
      <w:r>
        <w:rPr>
          <w:b/>
          <w:sz w:val="28"/>
        </w:rPr>
        <w:t>二、货物</w:t>
      </w:r>
      <w:r>
        <w:rPr>
          <w:b/>
          <w:sz w:val="28"/>
        </w:rPr>
        <w:t>质量要求</w:t>
      </w:r>
    </w:p>
    <w:p>
      <w:pPr>
        <w:ind w:firstLine="440"/>
      </w:pPr>
      <w:r>
        <w:rPr>
          <w:sz w:val="22"/>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2"/>
        </w:rPr>
        <w:t>。</w:t>
      </w:r>
    </w:p>
    <w:p>
      <w:pPr>
        <w:ind w:firstLine="440"/>
      </w:pPr>
      <w:r>
        <w:rPr>
          <w:sz w:val="22"/>
        </w:rPr>
        <w:t>2.乙方提供的货物必须是原厂原装全新正版产品（含零部件、配件、随机工具等），包装外观完好、表面无划伤无破损、附件齐全，整机无污染、无任何缺陷隐患，序列号、包装箱号与出厂批号一致，并可追索查阅。</w:t>
      </w:r>
      <w:r>
        <w:rPr>
          <w:sz w:val="22"/>
        </w:rPr>
        <w:t>国内货物</w:t>
      </w:r>
      <w:r>
        <w:rPr>
          <w:sz w:val="22"/>
        </w:rPr>
        <w:t>则</w:t>
      </w:r>
      <w:r>
        <w:rPr>
          <w:sz w:val="22"/>
        </w:rPr>
        <w:t>必须具备出厂合格证</w:t>
      </w:r>
      <w:r>
        <w:rPr>
          <w:sz w:val="22"/>
        </w:rPr>
        <w:t>，所有货物</w:t>
      </w:r>
      <w:r>
        <w:rPr>
          <w:sz w:val="22"/>
        </w:rPr>
        <w:t>在中国境内可依常规安全合法使用。</w:t>
      </w:r>
    </w:p>
    <w:p>
      <w:pPr>
        <w:ind w:firstLine="440"/>
      </w:pPr>
      <w:r>
        <w:rPr>
          <w:sz w:val="22"/>
        </w:rPr>
        <w:t>3.乙方对提供的货物提供</w:t>
      </w:r>
      <w:r>
        <w:rPr>
          <w:sz w:val="22"/>
        </w:rPr>
        <w:t>1</w:t>
      </w:r>
      <w:r>
        <w:rPr>
          <w:sz w:val="22"/>
        </w:rPr>
        <w:t>年的质量保证期。货物在质量保证期内被证明有缺陷，包括内在缺陷或使用不适当原材料，乙方应予退换货。</w:t>
      </w:r>
    </w:p>
    <w:p>
      <w:r>
        <w:rPr>
          <w:b/>
          <w:sz w:val="28"/>
        </w:rPr>
        <w:t>三、交货期及交货地点</w:t>
      </w:r>
    </w:p>
    <w:p>
      <w:pPr>
        <w:ind w:firstLine="440"/>
      </w:pPr>
      <w:r>
        <w:rPr>
          <w:sz w:val="22"/>
        </w:rPr>
        <w:t>1.交货时间：合同生效</w:t>
      </w:r>
      <w:r>
        <w:rPr>
          <w:sz w:val="22"/>
          <w:u w:val="single"/>
        </w:rPr>
        <w:t xml:space="preserve">    </w:t>
      </w:r>
      <w:r>
        <w:rPr>
          <w:sz w:val="22"/>
        </w:rPr>
        <w:t>天内乙方完成货物安装调试并交付使用。</w:t>
      </w:r>
    </w:p>
    <w:p>
      <w:pPr>
        <w:ind w:firstLine="440"/>
      </w:pPr>
      <w:r>
        <w:rPr>
          <w:sz w:val="22"/>
        </w:rPr>
        <w:t>2.交货地点：甲方大学城校区物理与光电工程学院指定地点。</w:t>
      </w:r>
    </w:p>
    <w:p>
      <w:r>
        <w:rPr>
          <w:b/>
          <w:sz w:val="28"/>
        </w:rPr>
        <w:t>四、到货检验、</w:t>
      </w:r>
      <w:r>
        <w:rPr>
          <w:b/>
          <w:sz w:val="28"/>
        </w:rPr>
        <w:t>安装调试</w:t>
      </w:r>
    </w:p>
    <w:p>
      <w:pPr>
        <w:ind w:firstLine="440"/>
      </w:pPr>
      <w:r>
        <w:rPr>
          <w:sz w:val="22"/>
        </w:rPr>
        <w:t>1.</w:t>
      </w:r>
      <w:r>
        <w:rPr>
          <w:sz w:val="22"/>
        </w:rPr>
        <w:t>货物送到甲方指定地点后，甲乙双方代表同时在场时才能开箱检验。</w:t>
      </w:r>
    </w:p>
    <w:p>
      <w:pPr>
        <w:ind w:firstLine="440"/>
      </w:pPr>
      <w:r>
        <w:rPr>
          <w:sz w:val="22"/>
        </w:rPr>
        <w:t>2.甲乙双方</w:t>
      </w:r>
      <w:r>
        <w:rPr>
          <w:sz w:val="22"/>
        </w:rPr>
        <w:t>就货物进行</w:t>
      </w:r>
      <w:r>
        <w:rPr>
          <w:sz w:val="22"/>
        </w:rPr>
        <w:t>的</w:t>
      </w:r>
      <w:r>
        <w:rPr>
          <w:sz w:val="22"/>
        </w:rPr>
        <w:t>检验包括</w:t>
      </w:r>
      <w:r>
        <w:rPr>
          <w:sz w:val="22"/>
        </w:rPr>
        <w:t>但不限于名称、品牌、规格、型号、产地、数量外在可视参数。</w:t>
      </w:r>
    </w:p>
    <w:p>
      <w:pPr>
        <w:ind w:firstLine="440"/>
      </w:pPr>
      <w:r>
        <w:rPr>
          <w:sz w:val="22"/>
        </w:rPr>
        <w:t>3.</w:t>
      </w:r>
      <w:r>
        <w:rPr>
          <w:sz w:val="22"/>
        </w:rPr>
        <w:t>除非甲方另有通知，乙方应按照合同的要求以及合同执行计划的时间安排，派出足够的人员进行现场安装和调试工作</w:t>
      </w:r>
      <w:r>
        <w:rPr>
          <w:sz w:val="22"/>
        </w:rPr>
        <w:t>，并承担货物安装调试过程所产生的一切费用和责任直到验收合格。</w:t>
      </w:r>
    </w:p>
    <w:p>
      <w:pPr>
        <w:ind w:firstLine="432"/>
      </w:pPr>
      <w:r>
        <w:rPr>
          <w:sz w:val="22"/>
        </w:rPr>
        <w:t>4.乙方必须依照招标文件的要求和报价文件的承诺，将货物安装并调试至正常运行的最佳状态。</w:t>
      </w:r>
    </w:p>
    <w:p>
      <w:pPr>
        <w:ind w:firstLine="440"/>
      </w:pPr>
      <w:r>
        <w:rPr>
          <w:sz w:val="22"/>
        </w:rPr>
        <w:t>5.软件类产品</w:t>
      </w:r>
      <w:r>
        <w:rPr>
          <w:sz w:val="22"/>
        </w:rPr>
        <w:t>乙方还应提供软件现场或远程安装，包括软件服务器端安装、客户端安装和软件</w:t>
      </w:r>
      <w:r>
        <w:rPr>
          <w:sz w:val="22"/>
        </w:rPr>
        <w:t>license的安装；在服务器端安装时乙方应主动寻求服务器供应商的工程师配合</w:t>
      </w:r>
      <w:r>
        <w:rPr>
          <w:sz w:val="22"/>
        </w:rPr>
        <w:t>。</w:t>
      </w:r>
    </w:p>
    <w:p>
      <w:r>
        <w:rPr>
          <w:b/>
          <w:sz w:val="28"/>
        </w:rPr>
        <w:t>五、验收</w:t>
      </w:r>
    </w:p>
    <w:p>
      <w:pPr>
        <w:ind w:firstLine="440"/>
      </w:pPr>
      <w:r>
        <w:rPr>
          <w:sz w:val="22"/>
        </w:rPr>
        <w:t>1.交付验收标准为：按</w:t>
      </w:r>
      <w:r>
        <w:rPr>
          <w:sz w:val="22"/>
        </w:rPr>
        <w:t>本合同</w:t>
      </w:r>
      <w:r>
        <w:rPr>
          <w:sz w:val="22"/>
        </w:rPr>
        <w:t>约定的货物及价格、详细配置清单及</w:t>
      </w:r>
      <w:r>
        <w:rPr>
          <w:sz w:val="22"/>
        </w:rPr>
        <w:t>技术</w:t>
      </w:r>
      <w:r>
        <w:rPr>
          <w:sz w:val="22"/>
        </w:rPr>
        <w:t>指标、符合采购文件和响应承诺中甲方认可的合理最佳配置、参数及各项要求、国家相关标准和行业规范进行验收</w:t>
      </w:r>
      <w:r>
        <w:rPr>
          <w:sz w:val="22"/>
        </w:rPr>
        <w:t>（该等标准不一致的，以较高为准）</w:t>
      </w:r>
      <w:r>
        <w:rPr>
          <w:sz w:val="22"/>
        </w:rPr>
        <w:t>。</w:t>
      </w:r>
    </w:p>
    <w:p>
      <w:pPr>
        <w:ind w:firstLine="440"/>
      </w:pPr>
      <w:r>
        <w:rPr>
          <w:sz w:val="22"/>
        </w:rPr>
        <w:t>2.验收流程按甲方规章制度执行，由甲方组成验收小组（含乙方人员）按国家有关规定、规范进行验收，必要时甲方可邀请相关的专业人员或机构参与验收。</w:t>
      </w:r>
    </w:p>
    <w:p>
      <w:pPr>
        <w:ind w:firstLine="440"/>
      </w:pPr>
      <w:r>
        <w:rPr>
          <w:sz w:val="22"/>
        </w:rPr>
        <w:t>3.货物安装调试完毕且正常运行后，乙方应向甲方提出书面验收申请，准备并向甲方提交验收文件，本</w:t>
      </w:r>
      <w:r>
        <w:rPr>
          <w:sz w:val="22"/>
        </w:rPr>
        <w:t>合同</w:t>
      </w:r>
      <w:r>
        <w:rPr>
          <w:sz w:val="22"/>
        </w:rPr>
        <w:t>项下的全部</w:t>
      </w:r>
      <w:r>
        <w:rPr>
          <w:sz w:val="22"/>
        </w:rPr>
        <w:t>货物</w:t>
      </w:r>
      <w:r>
        <w:rPr>
          <w:sz w:val="22"/>
        </w:rPr>
        <w:t>按甲方验收流程验收通过，经甲乙双方签署验收合格证明后，视为验收合格。</w:t>
      </w:r>
    </w:p>
    <w:p>
      <w:pPr>
        <w:ind w:firstLine="440"/>
      </w:pPr>
      <w:r>
        <w:rPr>
          <w:sz w:val="22"/>
        </w:rPr>
        <w:t>4.验收合格后，乙方应将货物的用户手册、保修手册、有关单证资料及配备件、随机工具等交付给甲方，使用操作及安全须知等重要资料应附有中文说明。前述资料物品交付完毕当日，视为合同货物完成交付。</w:t>
      </w:r>
    </w:p>
    <w:p>
      <w:r>
        <w:rPr>
          <w:b/>
          <w:sz w:val="28"/>
        </w:rPr>
        <w:t>六、付款</w:t>
      </w:r>
    </w:p>
    <w:p>
      <w:pPr>
        <w:ind w:firstLine="440"/>
      </w:pPr>
      <w:r>
        <w:rPr>
          <w:sz w:val="22"/>
        </w:rPr>
        <w:t>1.合同生效后，甲方按相关规定向乙方支付60%（人民币*佰*拾*万*仟*佰*拾*元整，¥****.**）的合同货款作为预付款。</w:t>
      </w:r>
    </w:p>
    <w:p>
      <w:pPr>
        <w:ind w:firstLine="440"/>
      </w:pPr>
      <w:r>
        <w:rPr>
          <w:sz w:val="22"/>
        </w:rPr>
        <w:t>2.货物安装调试完毕，经甲乙双方对货物进行验收合格并完成交付后，乙方开具全额增值税专用发票给甲方作为报账凭证。收到报账凭证后，甲方按其规章制度办理支付手续向乙方支付剩余40%（人民币*佰*拾*万*仟*佰*拾*元整，¥****.**）的合同货款。</w:t>
      </w:r>
    </w:p>
    <w:p>
      <w:r>
        <w:rPr>
          <w:b/>
          <w:sz w:val="28"/>
        </w:rPr>
        <w:t>七、培训及售后服务</w:t>
      </w:r>
    </w:p>
    <w:p>
      <w:pPr>
        <w:ind w:firstLine="440"/>
      </w:pPr>
      <w:r>
        <w:rPr>
          <w:sz w:val="22"/>
        </w:rPr>
        <w:t>1.乙方负责甲方使用人员的使用操作技术及维护技术的培训直至其能熟练、独立操作</w:t>
      </w:r>
      <w:r>
        <w:rPr>
          <w:sz w:val="22"/>
        </w:rPr>
        <w:t>，</w:t>
      </w:r>
      <w:r>
        <w:rPr>
          <w:sz w:val="22"/>
        </w:rPr>
        <w:t>具体培训内容和时间安排由双方协商确定</w:t>
      </w:r>
      <w:r>
        <w:rPr>
          <w:sz w:val="22"/>
        </w:rPr>
        <w:t>。对于软件类产品，</w:t>
      </w:r>
      <w:r>
        <w:rPr>
          <w:sz w:val="22"/>
        </w:rPr>
        <w:t>乙方还需要对甲方使用人员进行必要的现场培训，保证甲方使用人员能独立安装、升级软件和运行算例。</w:t>
      </w:r>
    </w:p>
    <w:p>
      <w:pPr>
        <w:ind w:firstLine="440"/>
      </w:pPr>
      <w:r>
        <w:rPr>
          <w:sz w:val="22"/>
        </w:rPr>
        <w:t>2.</w:t>
      </w:r>
      <w:r>
        <w:rPr>
          <w:sz w:val="24"/>
        </w:rPr>
        <w:t>所有货物保修期为</w:t>
      </w:r>
      <w:r>
        <w:rPr>
          <w:sz w:val="24"/>
        </w:rPr>
        <w:t>1年，中标人提供免费1年上门保修服务和系统维护</w:t>
      </w:r>
      <w:r>
        <w:rPr>
          <w:sz w:val="22"/>
        </w:rPr>
        <w:t>，乙方</w:t>
      </w:r>
      <w:r>
        <w:rPr>
          <w:sz w:val="22"/>
        </w:rPr>
        <w:t>不再收取任何费用，保修期自甲乙双方代表在货物安装调试后的验收证明文件上签字之日起计算。</w:t>
      </w:r>
    </w:p>
    <w:p>
      <w:pPr>
        <w:ind w:firstLine="440"/>
      </w:pPr>
      <w:r>
        <w:rPr>
          <w:sz w:val="22"/>
        </w:rPr>
        <w:t>3.保修期内，货物或零部件因质量原因出现故障而造成短期停用时，则保修期和免费维修期相应顺延。如停用时间累计超过60天则保修期重新计算。</w:t>
      </w:r>
    </w:p>
    <w:p>
      <w:pPr>
        <w:ind w:firstLine="440"/>
      </w:pPr>
      <w:r>
        <w:rPr>
          <w:sz w:val="22"/>
        </w:rPr>
        <w:t>4.保修期内，货物如非甲方人为原因而出现的问题由乙方负责包修、包换或包退，并承担修理、调换或退货的实际费用。如果货物同一硬件一个月内连续2次出现同一故障时，乙方须无偿更换全新货物。</w:t>
      </w:r>
    </w:p>
    <w:p>
      <w:pPr>
        <w:ind w:firstLine="440"/>
      </w:pPr>
      <w:r>
        <w:rPr>
          <w:sz w:val="22"/>
        </w:rPr>
        <w:t>5.</w:t>
      </w:r>
      <w:r>
        <w:rPr>
          <w:sz w:val="22"/>
        </w:rPr>
        <w:t>货物</w:t>
      </w:r>
      <w:r>
        <w:rPr>
          <w:sz w:val="22"/>
        </w:rPr>
        <w:t>（含软件类产品）</w:t>
      </w:r>
      <w:r>
        <w:rPr>
          <w:sz w:val="22"/>
        </w:rPr>
        <w:t>故障报修的响应时间为</w:t>
      </w:r>
      <w:r>
        <w:rPr>
          <w:sz w:val="22"/>
        </w:rPr>
        <w:t>2</w:t>
      </w:r>
      <w:r>
        <w:rPr>
          <w:sz w:val="22"/>
        </w:rPr>
        <w:t>小时</w:t>
      </w:r>
      <w:r>
        <w:rPr>
          <w:sz w:val="22"/>
        </w:rPr>
        <w:t>，且在</w:t>
      </w:r>
      <w:r>
        <w:rPr>
          <w:sz w:val="22"/>
        </w:rPr>
        <w:t>8</w:t>
      </w:r>
      <w:r>
        <w:rPr>
          <w:sz w:val="22"/>
        </w:rPr>
        <w:t>小时</w:t>
      </w:r>
      <w:r>
        <w:rPr>
          <w:sz w:val="22"/>
        </w:rPr>
        <w:t>内</w:t>
      </w:r>
      <w:r>
        <w:rPr>
          <w:sz w:val="22"/>
        </w:rPr>
        <w:t>（连同前面时间计算）</w:t>
      </w:r>
      <w:r>
        <w:rPr>
          <w:sz w:val="22"/>
        </w:rPr>
        <w:t>到达现场，</w:t>
      </w:r>
      <w:r>
        <w:rPr>
          <w:sz w:val="22"/>
        </w:rPr>
        <w:t>24 小时</w:t>
      </w:r>
      <w:r>
        <w:rPr>
          <w:sz w:val="22"/>
        </w:rPr>
        <w:t>内处理完毕。</w:t>
      </w:r>
      <w:r>
        <w:rPr>
          <w:sz w:val="22"/>
        </w:rPr>
        <w:t>规定时间内未处理完毕的，乙方在</w:t>
      </w:r>
      <w:r>
        <w:rPr>
          <w:sz w:val="22"/>
        </w:rPr>
        <w:t>48</w:t>
      </w:r>
      <w:r>
        <w:rPr>
          <w:sz w:val="22"/>
        </w:rPr>
        <w:t>小时内提供不低于同等档次的替代货物供用户使用至故障消除为止。</w:t>
      </w:r>
    </w:p>
    <w:p>
      <w:pPr>
        <w:ind w:firstLine="440"/>
      </w:pPr>
      <w:r>
        <w:rPr>
          <w:sz w:val="22"/>
        </w:rPr>
        <w:t>6.负责维修的单位名称：   ******     公司</w:t>
      </w:r>
    </w:p>
    <w:p>
      <w:pPr>
        <w:ind w:firstLine="440"/>
      </w:pPr>
      <w:r>
        <w:rPr>
          <w:sz w:val="22"/>
        </w:rPr>
        <w:t>地</w:t>
      </w:r>
      <w:r>
        <w:rPr>
          <w:sz w:val="22"/>
        </w:rPr>
        <w:t xml:space="preserve">            </w:t>
      </w:r>
      <w:r>
        <w:rPr>
          <w:sz w:val="22"/>
        </w:rPr>
        <w:t>址：</w:t>
      </w:r>
      <w:r>
        <w:rPr>
          <w:sz w:val="22"/>
        </w:rPr>
        <w:t xml:space="preserve">  </w:t>
      </w:r>
      <w:r>
        <w:rPr>
          <w:sz w:val="22"/>
        </w:rPr>
        <w:t>**  市 **   路  *  号 ** 室</w:t>
      </w:r>
    </w:p>
    <w:p>
      <w:pPr>
        <w:ind w:firstLine="440"/>
      </w:pPr>
      <w:r>
        <w:rPr>
          <w:sz w:val="22"/>
        </w:rPr>
        <w:t>联</w:t>
      </w:r>
      <w:r>
        <w:rPr>
          <w:sz w:val="22"/>
        </w:rPr>
        <w:t xml:space="preserve">     </w:t>
      </w:r>
      <w:r>
        <w:rPr>
          <w:sz w:val="22"/>
        </w:rPr>
        <w:t>系</w:t>
      </w:r>
      <w:r>
        <w:rPr>
          <w:sz w:val="22"/>
        </w:rPr>
        <w:t xml:space="preserve">    </w:t>
      </w:r>
      <w:r>
        <w:rPr>
          <w:sz w:val="22"/>
        </w:rPr>
        <w:t>人：</w:t>
      </w:r>
      <w:r>
        <w:rPr>
          <w:sz w:val="22"/>
        </w:rPr>
        <w:t xml:space="preserve">   </w:t>
      </w:r>
      <w:r>
        <w:rPr>
          <w:sz w:val="22"/>
        </w:rPr>
        <w:t xml:space="preserve">***            </w:t>
      </w:r>
    </w:p>
    <w:p>
      <w:pPr>
        <w:ind w:firstLine="440"/>
      </w:pPr>
      <w:r>
        <w:rPr>
          <w:sz w:val="22"/>
        </w:rPr>
        <w:t>电</w:t>
      </w:r>
      <w:r>
        <w:rPr>
          <w:sz w:val="22"/>
        </w:rPr>
        <w:t xml:space="preserve">   </w:t>
      </w:r>
      <w:r>
        <w:rPr>
          <w:sz w:val="22"/>
        </w:rPr>
        <w:t>话：</w:t>
      </w:r>
      <w:r>
        <w:rPr>
          <w:sz w:val="22"/>
        </w:rPr>
        <w:t xml:space="preserve">   </w:t>
      </w:r>
      <w:r>
        <w:rPr>
          <w:sz w:val="22"/>
        </w:rPr>
        <w:t xml:space="preserve">***       手机：***     </w:t>
      </w:r>
    </w:p>
    <w:p>
      <w:r>
        <w:rPr>
          <w:b/>
          <w:sz w:val="28"/>
        </w:rPr>
        <w:t>八、</w:t>
      </w:r>
      <w:r>
        <w:rPr>
          <w:b/>
          <w:sz w:val="28"/>
        </w:rPr>
        <w:t>违约责任</w:t>
      </w:r>
    </w:p>
    <w:p>
      <w:pPr>
        <w:ind w:firstLine="440"/>
      </w:pPr>
      <w:r>
        <w:rPr>
          <w:sz w:val="22"/>
        </w:rPr>
        <w:t>1.</w:t>
      </w:r>
      <w:r>
        <w:rPr>
          <w:sz w:val="22"/>
        </w:rPr>
        <w:t>甲方无正当理由拒收货物，甲方</w:t>
      </w:r>
      <w:r>
        <w:rPr>
          <w:sz w:val="22"/>
        </w:rPr>
        <w:t>应</w:t>
      </w:r>
      <w:r>
        <w:rPr>
          <w:sz w:val="22"/>
        </w:rPr>
        <w:t>向乙方赔付</w:t>
      </w:r>
      <w:r>
        <w:rPr>
          <w:sz w:val="22"/>
        </w:rPr>
        <w:t>拒收部分</w:t>
      </w:r>
      <w:r>
        <w:rPr>
          <w:sz w:val="22"/>
        </w:rPr>
        <w:t>货</w:t>
      </w:r>
      <w:r>
        <w:rPr>
          <w:sz w:val="22"/>
        </w:rPr>
        <w:t>物部门的货款金额</w:t>
      </w:r>
      <w:r>
        <w:rPr>
          <w:sz w:val="22"/>
        </w:rPr>
        <w:t>5%的违约金。</w:t>
      </w:r>
    </w:p>
    <w:p>
      <w:pPr>
        <w:ind w:firstLine="440"/>
      </w:pPr>
      <w:r>
        <w:rPr>
          <w:sz w:val="22"/>
        </w:rPr>
        <w:t>2.</w:t>
      </w:r>
      <w:r>
        <w:rPr>
          <w:sz w:val="22"/>
        </w:rPr>
        <w:t>甲方无正当理由逾期支付货款的，</w:t>
      </w:r>
      <w:r>
        <w:rPr>
          <w:sz w:val="22"/>
        </w:rPr>
        <w:t>经乙方书面催告后仍不在合理期限内支付的，</w:t>
      </w:r>
      <w:r>
        <w:rPr>
          <w:sz w:val="22"/>
        </w:rPr>
        <w:t>每逾期</w:t>
      </w:r>
      <w:r>
        <w:rPr>
          <w:sz w:val="22"/>
        </w:rPr>
        <w:t>1天，甲方向乙方赔付欠款总额的</w:t>
      </w:r>
      <w:r>
        <w:rPr>
          <w:sz w:val="22"/>
        </w:rPr>
        <w:t>3</w:t>
      </w:r>
      <w:r>
        <w:rPr>
          <w:sz w:val="22"/>
        </w:rPr>
        <w:t>‰的滞纳金，累计滞纳金总额不超过欠款</w:t>
      </w:r>
      <w:r>
        <w:rPr>
          <w:sz w:val="22"/>
        </w:rPr>
        <w:t>金</w:t>
      </w:r>
      <w:r>
        <w:rPr>
          <w:sz w:val="22"/>
        </w:rPr>
        <w:t>额的</w:t>
      </w:r>
      <w:r>
        <w:rPr>
          <w:sz w:val="22"/>
        </w:rPr>
        <w:t>5%</w:t>
      </w:r>
      <w:r>
        <w:rPr>
          <w:sz w:val="22"/>
        </w:rPr>
        <w:t>。但由于</w:t>
      </w:r>
      <w:r>
        <w:rPr>
          <w:sz w:val="22"/>
        </w:rPr>
        <w:t>乙方</w:t>
      </w:r>
      <w:r>
        <w:rPr>
          <w:sz w:val="22"/>
        </w:rPr>
        <w:t>不充分履行合同义务</w:t>
      </w:r>
      <w:r>
        <w:rPr>
          <w:sz w:val="22"/>
        </w:rPr>
        <w:t>造成甲方逾期支付的</w:t>
      </w:r>
      <w:r>
        <w:rPr>
          <w:sz w:val="22"/>
        </w:rPr>
        <w:t>情况除外。</w:t>
      </w:r>
    </w:p>
    <w:p>
      <w:pPr>
        <w:ind w:firstLine="440"/>
      </w:pPr>
      <w:r>
        <w:rPr>
          <w:sz w:val="22"/>
        </w:rPr>
        <w:t>3.</w:t>
      </w:r>
      <w:r>
        <w:rPr>
          <w:sz w:val="22"/>
        </w:rPr>
        <w:t>乙方所交</w:t>
      </w:r>
      <w:r>
        <w:rPr>
          <w:sz w:val="22"/>
        </w:rPr>
        <w:t>付</w:t>
      </w:r>
      <w:r>
        <w:rPr>
          <w:sz w:val="22"/>
        </w:rPr>
        <w:t>的货物</w:t>
      </w:r>
      <w:r>
        <w:rPr>
          <w:sz w:val="22"/>
        </w:rPr>
        <w:t>存在与合同约定内容有任何不相符的情况（包括但不限于名称、品牌、规格、型号、产地、数量、技术指标等）均视为乙方违约，</w:t>
      </w:r>
      <w:r>
        <w:rPr>
          <w:sz w:val="22"/>
        </w:rPr>
        <w:t>甲方有权拒收货物</w:t>
      </w:r>
      <w:r>
        <w:rPr>
          <w:sz w:val="22"/>
        </w:rPr>
        <w:t>，乙方应支付合同总金额</w:t>
      </w:r>
      <w:r>
        <w:rPr>
          <w:sz w:val="22"/>
        </w:rPr>
        <w:t>5%的违约金。如甲方同意乙方整改的，</w:t>
      </w:r>
      <w:r>
        <w:rPr>
          <w:sz w:val="22"/>
        </w:rPr>
        <w:t>乙</w:t>
      </w:r>
      <w:r>
        <w:rPr>
          <w:sz w:val="22"/>
        </w:rPr>
        <w:t>方除应交纳的前述违约金外，还必须在甲方规定的期限内整改到位（包括但不限于退换货），并承担由</w:t>
      </w:r>
      <w:r>
        <w:rPr>
          <w:sz w:val="22"/>
        </w:rPr>
        <w:t>此产生的全部费用。如果甲方不同意乙方整改的，视为乙方严重违约，甲方可以单方面解除合同，乙方需要退还甲方已支付的所有款项并赔付合同总金额</w:t>
      </w:r>
      <w:r>
        <w:rPr>
          <w:sz w:val="22"/>
        </w:rPr>
        <w:t>10%的违约金。</w:t>
      </w:r>
    </w:p>
    <w:p>
      <w:pPr>
        <w:ind w:firstLine="440"/>
      </w:pPr>
      <w:r>
        <w:rPr>
          <w:sz w:val="22"/>
        </w:rPr>
        <w:t>4.</w:t>
      </w:r>
      <w:r>
        <w:rPr>
          <w:sz w:val="22"/>
        </w:rPr>
        <w:t>乙方逾期交货的，每逾期</w:t>
      </w:r>
      <w:r>
        <w:rPr>
          <w:sz w:val="22"/>
        </w:rPr>
        <w:t>1天，乙方向甲方赔付逾期交货部分货款</w:t>
      </w:r>
      <w:r>
        <w:rPr>
          <w:sz w:val="22"/>
        </w:rPr>
        <w:t>金</w:t>
      </w:r>
      <w:r>
        <w:rPr>
          <w:sz w:val="22"/>
        </w:rPr>
        <w:t>额</w:t>
      </w:r>
      <w:r>
        <w:rPr>
          <w:sz w:val="22"/>
        </w:rPr>
        <w:t>3</w:t>
      </w:r>
      <w:r>
        <w:rPr>
          <w:sz w:val="22"/>
        </w:rPr>
        <w:t>‰的滞纳金，累计滞纳金总额不超过</w:t>
      </w:r>
      <w:r>
        <w:rPr>
          <w:sz w:val="22"/>
        </w:rPr>
        <w:t>合同总金额的</w:t>
      </w:r>
      <w:r>
        <w:rPr>
          <w:sz w:val="22"/>
        </w:rPr>
        <w:t>5%</w:t>
      </w:r>
      <w:r>
        <w:rPr>
          <w:sz w:val="22"/>
        </w:rPr>
        <w:t>。乙方</w:t>
      </w:r>
      <w:r>
        <w:rPr>
          <w:sz w:val="22"/>
        </w:rPr>
        <w:t>逾期交货超过</w:t>
      </w:r>
      <w:r>
        <w:rPr>
          <w:sz w:val="22"/>
        </w:rPr>
        <w:t>1</w:t>
      </w:r>
      <w:r>
        <w:rPr>
          <w:sz w:val="22"/>
        </w:rPr>
        <w:t>5</w:t>
      </w:r>
      <w:r>
        <w:rPr>
          <w:sz w:val="22"/>
        </w:rPr>
        <w:t>天，</w:t>
      </w:r>
      <w:r>
        <w:rPr>
          <w:sz w:val="22"/>
        </w:rPr>
        <w:t>视为乙方严重违约，</w:t>
      </w:r>
      <w:r>
        <w:rPr>
          <w:sz w:val="22"/>
        </w:rPr>
        <w:t>甲方</w:t>
      </w:r>
      <w:r>
        <w:rPr>
          <w:sz w:val="22"/>
        </w:rPr>
        <w:t>可以单方面解除</w:t>
      </w:r>
      <w:r>
        <w:rPr>
          <w:sz w:val="22"/>
        </w:rPr>
        <w:t>合同</w:t>
      </w:r>
      <w:r>
        <w:rPr>
          <w:sz w:val="22"/>
        </w:rPr>
        <w:t>，</w:t>
      </w:r>
      <w:r>
        <w:rPr>
          <w:sz w:val="22"/>
        </w:rPr>
        <w:t>乙方需要退还甲方已支付的所有款项并赔付合同总金额</w:t>
      </w:r>
      <w:r>
        <w:rPr>
          <w:sz w:val="22"/>
        </w:rPr>
        <w:t>10%的违约金。</w:t>
      </w:r>
    </w:p>
    <w:p>
      <w:pPr>
        <w:ind w:firstLine="440"/>
      </w:pPr>
      <w:r>
        <w:rPr>
          <w:sz w:val="22"/>
        </w:rPr>
        <w:t>5</w:t>
      </w:r>
      <w:r>
        <w:rPr>
          <w:sz w:val="22"/>
        </w:rPr>
        <w:t>.</w:t>
      </w:r>
      <w:r>
        <w:rPr>
          <w:sz w:val="22"/>
        </w:rPr>
        <w:t>乙方如没有按合同规定履行售后服务承诺，甲方可</w:t>
      </w:r>
      <w:r>
        <w:rPr>
          <w:sz w:val="22"/>
        </w:rPr>
        <w:t>请</w:t>
      </w:r>
      <w:r>
        <w:rPr>
          <w:sz w:val="22"/>
        </w:rPr>
        <w:t>第三方单位进行修复，</w:t>
      </w:r>
      <w:r>
        <w:rPr>
          <w:sz w:val="22"/>
        </w:rPr>
        <w:t>由此造成的包括但不限于第三方的维保费用、甲方的其他经济损失等均由乙方承担，甲方有权直接从履约保证金中扣减。</w:t>
      </w:r>
    </w:p>
    <w:p>
      <w:pPr>
        <w:ind w:firstLine="440"/>
      </w:pPr>
      <w:r>
        <w:rPr>
          <w:sz w:val="22"/>
        </w:rPr>
        <w:t>6</w:t>
      </w:r>
      <w:r>
        <w:rPr>
          <w:sz w:val="22"/>
        </w:rPr>
        <w:t>.乙方有以下情形之一的，甲方可以单方面解除合同，乙方需退还甲方已支付的所有款项，并按合同总金额10%向甲方赔付违约金，违约金不足以弥补甲方损失的，乙方应另行赔付。具体情形如下：</w:t>
      </w:r>
    </w:p>
    <w:p>
      <w:pPr>
        <w:ind w:firstLine="440"/>
      </w:pPr>
      <w:r>
        <w:rPr>
          <w:sz w:val="22"/>
        </w:rPr>
        <w:t>（</w:t>
      </w:r>
      <w:r>
        <w:rPr>
          <w:sz w:val="22"/>
        </w:rPr>
        <w:t>1）乙方交付的货物存在侵犯他人知识产权、肖像权、技术秘密、商来秘密或其他任何权益的；</w:t>
      </w:r>
    </w:p>
    <w:p>
      <w:pPr>
        <w:ind w:firstLine="440"/>
      </w:pPr>
      <w:r>
        <w:rPr>
          <w:sz w:val="22"/>
        </w:rPr>
        <w:t>（</w:t>
      </w:r>
      <w:r>
        <w:rPr>
          <w:sz w:val="22"/>
        </w:rPr>
        <w:t>2）乙方履行义务不符合同约定，经甲方提出后在合理期限内仍未整改到位的；</w:t>
      </w:r>
    </w:p>
    <w:p>
      <w:pPr>
        <w:ind w:firstLine="440"/>
      </w:pPr>
      <w:r>
        <w:rPr>
          <w:sz w:val="22"/>
        </w:rPr>
        <w:t>（</w:t>
      </w:r>
      <w:r>
        <w:rPr>
          <w:sz w:val="22"/>
        </w:rPr>
        <w:t>3）未经甲方书面同意，乙方将本合同项下的权利或义务转让，或将本合同项下服务转包或分包的；</w:t>
      </w:r>
    </w:p>
    <w:p>
      <w:pPr>
        <w:ind w:firstLine="440"/>
      </w:pPr>
      <w:r>
        <w:rPr>
          <w:sz w:val="22"/>
        </w:rPr>
        <w:t>（</w:t>
      </w:r>
      <w:r>
        <w:rPr>
          <w:sz w:val="22"/>
        </w:rPr>
        <w:t>4）国家法律规定的其合同解除的情形。</w:t>
      </w:r>
    </w:p>
    <w:p>
      <w:r>
        <w:rPr>
          <w:b/>
          <w:sz w:val="28"/>
        </w:rPr>
        <w:t>九、适用法律与争议解决</w:t>
      </w:r>
    </w:p>
    <w:p>
      <w:pPr>
        <w:ind w:firstLine="440"/>
      </w:pPr>
      <w:r>
        <w:rPr>
          <w:sz w:val="22"/>
        </w:rPr>
        <w:t>1.本合同的成立、有效性、解释、履行、签署、修订和终止以及争议的解决均应适用中华人民共和国法律。</w:t>
      </w:r>
    </w:p>
    <w:p>
      <w:pPr>
        <w:ind w:firstLine="440"/>
      </w:pPr>
      <w:r>
        <w:rPr>
          <w:sz w:val="22"/>
        </w:rPr>
        <w:t>2.</w:t>
      </w:r>
      <w:r>
        <w:rPr>
          <w:sz w:val="22"/>
        </w:rPr>
        <w:t>因货物的质量问题发生争议，</w:t>
      </w:r>
      <w:r>
        <w:rPr>
          <w:sz w:val="22"/>
        </w:rPr>
        <w:t>可共同或单方委托</w:t>
      </w:r>
      <w:r>
        <w:rPr>
          <w:sz w:val="22"/>
        </w:rPr>
        <w:t>质量鉴定单位进行质量鉴定</w:t>
      </w:r>
      <w:r>
        <w:rPr>
          <w:sz w:val="22"/>
        </w:rPr>
        <w:t>；</w:t>
      </w:r>
      <w:r>
        <w:rPr>
          <w:sz w:val="22"/>
        </w:rPr>
        <w:t>货物符合质量标准的，鉴定费由甲方承担，货物不符合质量标准的，鉴定费由乙方承担。</w:t>
      </w:r>
    </w:p>
    <w:p>
      <w:pPr>
        <w:ind w:firstLine="440"/>
      </w:pPr>
      <w:r>
        <w:rPr>
          <w:sz w:val="22"/>
        </w:rPr>
        <w:t>3</w:t>
      </w:r>
      <w:r>
        <w:rPr>
          <w:sz w:val="22"/>
        </w:rPr>
        <w:t>.合同任一方因受不</w:t>
      </w:r>
      <w:r>
        <w:rPr>
          <w:sz w:val="22"/>
        </w:rPr>
        <w:t>可抗</w:t>
      </w:r>
      <w:r>
        <w:rPr>
          <w:sz w:val="22"/>
        </w:rPr>
        <w:t>力事件影响导致无法履行合同时，该方可以免责。但是，受不可抗力事件影响的一方须尽快将事件发生情况通知对方，并在不可抗力事件影响消除之日起</w:t>
      </w:r>
      <w:r>
        <w:rPr>
          <w:sz w:val="22"/>
        </w:rPr>
        <w:t>10个工作日内将由官方机构出具的不可抗力事件证明交给对方。未能提供以上证明的，不能免除违约责任。</w:t>
      </w:r>
    </w:p>
    <w:p>
      <w:pPr>
        <w:ind w:firstLine="440"/>
      </w:pPr>
      <w:r>
        <w:rPr>
          <w:sz w:val="22"/>
        </w:rPr>
        <w:t>4.由于其他非不可抗力因素导致</w:t>
      </w:r>
      <w:r>
        <w:rPr>
          <w:sz w:val="22"/>
        </w:rPr>
        <w:t>合同无法继续履行时，</w:t>
      </w:r>
      <w:r>
        <w:rPr>
          <w:sz w:val="22"/>
        </w:rPr>
        <w:t>责任方</w:t>
      </w:r>
      <w:r>
        <w:rPr>
          <w:sz w:val="22"/>
        </w:rPr>
        <w:t>应及时通知</w:t>
      </w:r>
      <w:r>
        <w:rPr>
          <w:sz w:val="22"/>
        </w:rPr>
        <w:t>对方</w:t>
      </w:r>
      <w:r>
        <w:rPr>
          <w:sz w:val="22"/>
        </w:rPr>
        <w:t>办理合同终止协议，并由责任方赔偿对方由此造成的经济损失。</w:t>
      </w:r>
    </w:p>
    <w:p>
      <w:pPr>
        <w:ind w:firstLine="440"/>
      </w:pPr>
      <w:r>
        <w:rPr>
          <w:sz w:val="22"/>
        </w:rPr>
        <w:t>5.</w:t>
      </w:r>
      <w:r>
        <w:rPr>
          <w:sz w:val="22"/>
        </w:rPr>
        <w:t>凡与本合同有关而引起的一切争议，</w:t>
      </w:r>
      <w:r>
        <w:rPr>
          <w:sz w:val="22"/>
        </w:rPr>
        <w:t>双方</w:t>
      </w:r>
      <w:r>
        <w:rPr>
          <w:sz w:val="22"/>
        </w:rPr>
        <w:t>应首先通过友好协商解决</w:t>
      </w:r>
      <w:r>
        <w:rPr>
          <w:sz w:val="22"/>
        </w:rPr>
        <w:t>。</w:t>
      </w:r>
      <w:r>
        <w:rPr>
          <w:sz w:val="22"/>
        </w:rPr>
        <w:t>如经协商后仍不能达成协议时，任何一方可以向</w:t>
      </w:r>
      <w:r>
        <w:rPr>
          <w:sz w:val="22"/>
        </w:rPr>
        <w:t>甲方所在地人民</w:t>
      </w:r>
      <w:r>
        <w:rPr>
          <w:sz w:val="22"/>
        </w:rPr>
        <w:t>法院提出诉讼。</w:t>
      </w:r>
    </w:p>
    <w:p>
      <w:r>
        <w:rPr>
          <w:b/>
          <w:sz w:val="28"/>
        </w:rPr>
        <w:t>十、风险转移与保密责任</w:t>
      </w:r>
    </w:p>
    <w:p>
      <w:pPr>
        <w:ind w:firstLine="440"/>
      </w:pPr>
      <w:r>
        <w:rPr>
          <w:sz w:val="22"/>
        </w:rPr>
        <w:t>1.货物毁损、灭失的风险，在验收合格并交付前由乙方承担，在验收合格并交付后由甲方承担。</w:t>
      </w:r>
    </w:p>
    <w:p>
      <w:pPr>
        <w:ind w:firstLine="440"/>
      </w:pPr>
      <w:r>
        <w:rPr>
          <w:sz w:val="22"/>
        </w:rPr>
        <w:t>2.甲方因货物不符合合同约定而拒收的，或者合同解除的，货物的毁损、灭失风险均由乙方承担。</w:t>
      </w:r>
    </w:p>
    <w:p>
      <w:pPr>
        <w:ind w:firstLine="440"/>
      </w:pPr>
      <w:r>
        <w:rPr>
          <w:sz w:val="22"/>
        </w:rPr>
        <w:t>3.产权和风险的转移，不影响甲方追究乙方违约责任的权利。</w:t>
      </w:r>
    </w:p>
    <w:p>
      <w:pPr>
        <w:ind w:firstLine="440"/>
      </w:pPr>
      <w:r>
        <w:rPr>
          <w:sz w:val="22"/>
        </w:rPr>
        <w:t>4.合同两方均应保守通过签订履行本合同而获得的对方之商业及技术秘密，包括本合同文本，相关技术文件、相关数据以及其他有关信息，</w:t>
      </w:r>
      <w:r>
        <w:rPr>
          <w:sz w:val="22"/>
        </w:rPr>
        <w:t>无论以何种形式或载于何种载体，无论在披露时是否以口头、图像或以书面方式均具有保密性。</w:t>
      </w:r>
      <w:r>
        <w:rPr>
          <w:sz w:val="22"/>
        </w:rPr>
        <w:t>任何一方违反上述规定的，应赔偿合同守约方的损失。</w:t>
      </w:r>
      <w:r>
        <w:rPr>
          <w:sz w:val="22"/>
        </w:rPr>
        <w:t>合同范围内如涉及国家机密的，按照《中华人民共和国保守国家秘密法》执行，受中华人民共和国的法律管辖并按照中国的法律进行解释及处理。</w:t>
      </w:r>
      <w:r>
        <w:rPr>
          <w:sz w:val="22"/>
        </w:rPr>
        <w:t>本保密条款及保密责任不因合同解除或终止而消失。</w:t>
      </w:r>
    </w:p>
    <w:p>
      <w:r>
        <w:rPr>
          <w:b/>
          <w:sz w:val="28"/>
        </w:rPr>
        <w:t>十一、其他约定条款</w:t>
      </w:r>
    </w:p>
    <w:p>
      <w:pPr>
        <w:ind w:firstLine="440"/>
      </w:pPr>
      <w:r>
        <w:rPr>
          <w:sz w:val="22"/>
        </w:rPr>
        <w:t>1.</w:t>
      </w:r>
      <w:r>
        <w:rPr>
          <w:sz w:val="22"/>
        </w:rPr>
        <w:t>合同生效：合同经</w:t>
      </w:r>
      <w:r>
        <w:rPr>
          <w:sz w:val="22"/>
        </w:rPr>
        <w:t>各</w:t>
      </w:r>
      <w:r>
        <w:rPr>
          <w:sz w:val="22"/>
        </w:rPr>
        <w:t>方授权代表签字并经单位盖章；合同生效日期以后一个签字的日期为准。</w:t>
      </w:r>
    </w:p>
    <w:p>
      <w:pPr>
        <w:ind w:firstLine="440"/>
      </w:pPr>
      <w:r>
        <w:rPr>
          <w:sz w:val="22"/>
        </w:rPr>
        <w:t>2.开标结果通知书、投标文件、招标文件及本合同之所有附件均为组成部分，与本合同具有同样法律效力，解释的顺序以文件生成时间在后的为准。</w:t>
      </w:r>
    </w:p>
    <w:p>
      <w:pPr>
        <w:ind w:firstLine="440"/>
      </w:pPr>
      <w:r>
        <w:rPr>
          <w:sz w:val="22"/>
        </w:rPr>
        <w:t>3.在执行本合同的过程中，所有经甲乙双方签署确认的文件（包括会议纪要、补充协议、合同修改书、往来信函等）均为本合同的有效组成部分，其生效日期为双方均签字盖章或确认之日。</w:t>
      </w:r>
    </w:p>
    <w:p>
      <w:pPr>
        <w:ind w:firstLine="440"/>
      </w:pPr>
      <w:r>
        <w:rPr>
          <w:sz w:val="22"/>
        </w:rPr>
        <w:t>4.合同任</w:t>
      </w:r>
      <w:r>
        <w:rPr>
          <w:sz w:val="22"/>
        </w:rPr>
        <w:t>一方的名称、地址、电话、银行账号信息有变更，应在变更之日起</w:t>
      </w:r>
      <w:r>
        <w:rPr>
          <w:sz w:val="22"/>
        </w:rPr>
        <w:t>5日内书面通知对方，未履行书面通知义务的，另一方按原合同信息邮寄相关材料、或通知相关信息、或支付相关款项即视为履行送达义务</w:t>
      </w:r>
      <w:r>
        <w:rPr>
          <w:sz w:val="22"/>
        </w:rPr>
        <w:t>。合同任一方因公司注销、银行账号注销或冻结等导致无法收到款项的，由该方承担相应后果。</w:t>
      </w:r>
    </w:p>
    <w:p>
      <w:pPr>
        <w:ind w:firstLine="440"/>
      </w:pPr>
      <w:r>
        <w:rPr>
          <w:sz w:val="22"/>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ind w:firstLine="440"/>
      </w:pPr>
    </w:p>
    <w:p/>
    <w:p>
      <w:pPr>
        <w:ind w:firstLine="440"/>
      </w:pPr>
      <w:r>
        <w:rPr>
          <w:sz w:val="22"/>
        </w:rPr>
        <w:t>6</w:t>
      </w:r>
      <w:r>
        <w:rPr>
          <w:sz w:val="22"/>
        </w:rPr>
        <w:t>.</w:t>
      </w:r>
      <w:r>
        <w:rPr>
          <w:sz w:val="22"/>
        </w:rPr>
        <w:t>本合同书一式</w:t>
      </w:r>
      <w:r>
        <w:rPr>
          <w:sz w:val="22"/>
        </w:rPr>
        <w:t>四</w:t>
      </w:r>
      <w:r>
        <w:rPr>
          <w:sz w:val="22"/>
        </w:rPr>
        <w:t>份，均为正本</w:t>
      </w:r>
      <w:r>
        <w:rPr>
          <w:sz w:val="22"/>
        </w:rPr>
        <w:t>，</w:t>
      </w:r>
      <w:r>
        <w:rPr>
          <w:sz w:val="22"/>
        </w:rPr>
        <w:t>具有同等法律效力，甲方执</w:t>
      </w:r>
      <w:r>
        <w:rPr>
          <w:sz w:val="22"/>
        </w:rPr>
        <w:t>三</w:t>
      </w:r>
      <w:r>
        <w:rPr>
          <w:sz w:val="22"/>
        </w:rPr>
        <w:t>份</w:t>
      </w:r>
      <w:r>
        <w:rPr>
          <w:sz w:val="22"/>
        </w:rPr>
        <w:t>，乙方一份。</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vAlign w:val="top"/>
          </w:tcPr>
          <w:p>
            <w:r>
              <w:rPr>
                <w:sz w:val="22"/>
              </w:rPr>
              <w:t>甲　　　方：</w:t>
            </w:r>
          </w:p>
        </w:tc>
        <w:tc>
          <w:tcPr>
            <w:tcW w:type="dxa" w:w="2076"/>
            <w:tcBorders>
              <w:top w:val="single" w:color="000000" w:sz="4"/>
              <w:left w:val="none" w:color="000000" w:sz="4"/>
              <w:bottom w:val="single" w:color="000000" w:sz="4"/>
              <w:right w:val="single" w:color="000000" w:sz="4"/>
            </w:tcBorders>
            <w:vAlign w:val="top"/>
          </w:tcPr>
          <w:p>
            <w:r>
              <w:rPr>
                <w:sz w:val="22"/>
              </w:rPr>
              <w:t>广东工业大学</w:t>
            </w:r>
          </w:p>
        </w:tc>
        <w:tc>
          <w:tcPr>
            <w:tcW w:type="dxa" w:w="2076"/>
            <w:tcBorders>
              <w:top w:val="single" w:color="000000" w:sz="4"/>
              <w:left w:val="none" w:color="000000" w:sz="4"/>
              <w:bottom w:val="single" w:color="000000" w:sz="4"/>
              <w:right w:val="single" w:color="000000" w:sz="4"/>
            </w:tcBorders>
            <w:vAlign w:val="top"/>
          </w:tcPr>
          <w:p>
            <w:r>
              <w:rPr>
                <w:sz w:val="22"/>
              </w:rPr>
              <w:t>乙　　　方：</w:t>
            </w:r>
          </w:p>
        </w:tc>
        <w:tc>
          <w:tcPr>
            <w:tcW w:type="dxa" w:w="2076"/>
            <w:tcBorders>
              <w:top w:val="single" w:color="000000" w:sz="4"/>
              <w:left w:val="none" w:color="000000" w:sz="4"/>
              <w:bottom w:val="single" w:color="000000" w:sz="4"/>
              <w:right w:val="single" w:color="000000" w:sz="4"/>
            </w:tcBorders>
            <w:vAlign w:val="top"/>
          </w:tcPr>
          <w:p>
            <w:r>
              <w:rPr>
                <w:sz w:val="22"/>
              </w:rPr>
              <w:t>广州</w:t>
            </w:r>
            <w:r>
              <w:rPr>
                <w:sz w:val="22"/>
              </w:rPr>
              <w:t>****有限公司</w:t>
            </w:r>
          </w:p>
        </w:tc>
      </w:tr>
      <w:tr>
        <w:tc>
          <w:tcPr>
            <w:tcW w:type="dxa" w:w="2076"/>
            <w:tcBorders>
              <w:top w:val="none" w:color="000000" w:sz="4"/>
              <w:left w:val="single" w:color="000000" w:sz="4"/>
              <w:bottom w:val="single" w:color="000000" w:sz="4"/>
              <w:right w:val="single" w:color="000000" w:sz="4"/>
            </w:tcBorders>
            <w:vAlign w:val="top"/>
          </w:tcPr>
          <w:p>
            <w:r>
              <w:rPr>
                <w:sz w:val="22"/>
              </w:rPr>
              <w:t>地　　　址：</w:t>
            </w:r>
          </w:p>
        </w:tc>
        <w:tc>
          <w:tcPr>
            <w:tcW w:type="dxa" w:w="2076"/>
            <w:tcBorders>
              <w:top w:val="none" w:color="000000" w:sz="4"/>
              <w:left w:val="none" w:color="000000" w:sz="4"/>
              <w:bottom w:val="single" w:color="000000" w:sz="4"/>
              <w:right w:val="single" w:color="000000" w:sz="4"/>
            </w:tcBorders>
            <w:vAlign w:val="top"/>
          </w:tcPr>
          <w:p>
            <w:r>
              <w:rPr>
                <w:sz w:val="22"/>
              </w:rPr>
              <w:t>广州市广州大学城外环西路</w:t>
            </w:r>
            <w:r>
              <w:rPr>
                <w:sz w:val="22"/>
              </w:rPr>
              <w:t>100号</w:t>
            </w:r>
          </w:p>
        </w:tc>
        <w:tc>
          <w:tcPr>
            <w:tcW w:type="dxa" w:w="2076"/>
            <w:tcBorders>
              <w:top w:val="none" w:color="000000" w:sz="4"/>
              <w:left w:val="none" w:color="000000" w:sz="4"/>
              <w:bottom w:val="single" w:color="000000" w:sz="4"/>
              <w:right w:val="single" w:color="000000" w:sz="4"/>
            </w:tcBorders>
            <w:vAlign w:val="top"/>
          </w:tcPr>
          <w:p>
            <w:r>
              <w:rPr>
                <w:sz w:val="22"/>
              </w:rPr>
              <w:t>地　　　址：</w:t>
            </w:r>
          </w:p>
        </w:tc>
        <w:tc>
          <w:tcPr>
            <w:tcW w:type="dxa" w:w="2076"/>
            <w:tcBorders>
              <w:top w:val="none" w:color="000000" w:sz="4"/>
              <w:left w:val="none" w:color="000000" w:sz="4"/>
              <w:bottom w:val="single" w:color="000000" w:sz="4"/>
              <w:right w:val="single" w:color="000000" w:sz="4"/>
            </w:tcBorders>
            <w:vAlign w:val="top"/>
          </w:tcPr>
          <w:p>
            <w:r>
              <w:rPr>
                <w:sz w:val="22"/>
              </w:rPr>
              <w:t>广州市</w:t>
            </w:r>
            <w:r>
              <w:rPr>
                <w:sz w:val="22"/>
              </w:rPr>
              <w:t>*****路429号305室</w:t>
            </w:r>
          </w:p>
        </w:tc>
      </w:tr>
      <w:tr>
        <w:tc>
          <w:tcPr>
            <w:tcW w:type="dxa" w:w="2076"/>
            <w:tcBorders>
              <w:top w:val="none" w:color="000000" w:sz="4"/>
              <w:left w:val="single" w:color="000000" w:sz="4"/>
              <w:bottom w:val="single" w:color="000000" w:sz="4"/>
              <w:right w:val="single" w:color="000000" w:sz="4"/>
            </w:tcBorders>
            <w:vAlign w:val="top"/>
          </w:tcPr>
          <w:p>
            <w:r>
              <w:rPr>
                <w:sz w:val="22"/>
              </w:rPr>
              <w:t>开户银行：</w:t>
            </w:r>
          </w:p>
        </w:tc>
        <w:tc>
          <w:tcPr>
            <w:tcW w:type="dxa" w:w="2076"/>
            <w:tcBorders>
              <w:top w:val="none" w:color="000000" w:sz="4"/>
              <w:left w:val="none" w:color="000000" w:sz="4"/>
              <w:bottom w:val="single" w:color="000000" w:sz="4"/>
              <w:right w:val="single" w:color="000000" w:sz="4"/>
            </w:tcBorders>
            <w:vAlign w:val="top"/>
          </w:tcPr>
          <w:p>
            <w:r>
              <w:rPr>
                <w:sz w:val="22"/>
              </w:rPr>
              <w:t>广州市工行三支行</w:t>
            </w:r>
          </w:p>
        </w:tc>
        <w:tc>
          <w:tcPr>
            <w:tcW w:type="dxa" w:w="2076"/>
            <w:tcBorders>
              <w:top w:val="none" w:color="000000" w:sz="4"/>
              <w:left w:val="none" w:color="000000" w:sz="4"/>
              <w:bottom w:val="single" w:color="000000" w:sz="4"/>
              <w:right w:val="single" w:color="000000" w:sz="4"/>
            </w:tcBorders>
            <w:vAlign w:val="top"/>
          </w:tcPr>
          <w:p>
            <w:r>
              <w:rPr>
                <w:sz w:val="22"/>
              </w:rPr>
              <w:t>开户银行：</w:t>
            </w:r>
          </w:p>
        </w:tc>
        <w:tc>
          <w:tcPr>
            <w:tcW w:type="dxa" w:w="2076"/>
            <w:tcBorders>
              <w:top w:val="none" w:color="000000" w:sz="4"/>
              <w:left w:val="none" w:color="000000" w:sz="4"/>
              <w:bottom w:val="single" w:color="000000" w:sz="4"/>
              <w:right w:val="single" w:color="000000" w:sz="4"/>
            </w:tcBorders>
            <w:vAlign w:val="top"/>
          </w:tcPr>
          <w:p/>
        </w:tc>
      </w:tr>
      <w:tr>
        <w:tc>
          <w:tcPr>
            <w:tcW w:type="dxa" w:w="2076"/>
            <w:tcBorders>
              <w:top w:val="none" w:color="000000" w:sz="4"/>
              <w:left w:val="single" w:color="000000" w:sz="4"/>
              <w:bottom w:val="single" w:color="000000" w:sz="4"/>
              <w:right w:val="single" w:color="000000" w:sz="4"/>
            </w:tcBorders>
            <w:vAlign w:val="top"/>
          </w:tcPr>
          <w:p>
            <w:r>
              <w:rPr>
                <w:sz w:val="22"/>
              </w:rPr>
              <w:t>银行账号：</w:t>
            </w:r>
          </w:p>
        </w:tc>
        <w:tc>
          <w:tcPr>
            <w:tcW w:type="dxa" w:w="2076"/>
            <w:tcBorders>
              <w:top w:val="none" w:color="000000" w:sz="4"/>
              <w:left w:val="none" w:color="000000" w:sz="4"/>
              <w:bottom w:val="single" w:color="000000" w:sz="4"/>
              <w:right w:val="single" w:color="000000" w:sz="4"/>
            </w:tcBorders>
            <w:vAlign w:val="top"/>
          </w:tcPr>
          <w:p>
            <w:r>
              <w:rPr>
                <w:sz w:val="22"/>
              </w:rPr>
              <w:t>3602028909000196985</w:t>
            </w:r>
          </w:p>
        </w:tc>
        <w:tc>
          <w:tcPr>
            <w:tcW w:type="dxa" w:w="2076"/>
            <w:tcBorders>
              <w:top w:val="none" w:color="000000" w:sz="4"/>
              <w:left w:val="none" w:color="000000" w:sz="4"/>
              <w:bottom w:val="single" w:color="000000" w:sz="4"/>
              <w:right w:val="single" w:color="000000" w:sz="4"/>
            </w:tcBorders>
            <w:vAlign w:val="top"/>
          </w:tcPr>
          <w:p>
            <w:r>
              <w:rPr>
                <w:sz w:val="22"/>
              </w:rPr>
              <w:t>银行账号：</w:t>
            </w:r>
          </w:p>
        </w:tc>
        <w:tc>
          <w:tcPr>
            <w:tcW w:type="dxa" w:w="2076"/>
            <w:tcBorders>
              <w:top w:val="none" w:color="000000" w:sz="4"/>
              <w:left w:val="none" w:color="000000" w:sz="4"/>
              <w:bottom w:val="single" w:color="000000" w:sz="4"/>
              <w:right w:val="single" w:color="000000" w:sz="4"/>
            </w:tcBorders>
            <w:vAlign w:val="top"/>
          </w:tcPr>
          <w:p/>
        </w:tc>
      </w:tr>
      <w:tr>
        <w:tc>
          <w:tcPr>
            <w:tcW w:type="dxa" w:w="2076"/>
            <w:tcBorders>
              <w:top w:val="none" w:color="000000" w:sz="4"/>
              <w:left w:val="single" w:color="000000" w:sz="4"/>
              <w:bottom w:val="single" w:color="000000" w:sz="4"/>
              <w:right w:val="single" w:color="000000" w:sz="4"/>
            </w:tcBorders>
            <w:vAlign w:val="top"/>
          </w:tcPr>
          <w:p>
            <w:r>
              <w:rPr>
                <w:sz w:val="22"/>
              </w:rPr>
              <w:t>纳税人识别号：</w:t>
            </w:r>
          </w:p>
        </w:tc>
        <w:tc>
          <w:tcPr>
            <w:tcW w:type="dxa" w:w="2076"/>
            <w:tcBorders>
              <w:top w:val="none" w:color="000000" w:sz="4"/>
              <w:left w:val="none" w:color="000000" w:sz="4"/>
              <w:bottom w:val="single" w:color="000000" w:sz="4"/>
              <w:right w:val="single" w:color="000000" w:sz="4"/>
            </w:tcBorders>
            <w:vAlign w:val="top"/>
          </w:tcPr>
          <w:p>
            <w:r>
              <w:rPr>
                <w:sz w:val="22"/>
              </w:rPr>
              <w:t>12440000455860226X</w:t>
            </w:r>
          </w:p>
        </w:tc>
        <w:tc>
          <w:tcPr>
            <w:tcW w:type="dxa" w:w="2076"/>
            <w:tcBorders>
              <w:top w:val="none" w:color="000000" w:sz="4"/>
              <w:left w:val="none" w:color="000000" w:sz="4"/>
              <w:bottom w:val="single" w:color="000000" w:sz="4"/>
              <w:right w:val="single" w:color="000000" w:sz="4"/>
            </w:tcBorders>
            <w:vAlign w:val="top"/>
          </w:tcPr>
          <w:p>
            <w:r>
              <w:rPr>
                <w:sz w:val="22"/>
              </w:rPr>
              <w:t>银行联行号</w:t>
            </w:r>
          </w:p>
        </w:tc>
        <w:tc>
          <w:tcPr>
            <w:tcW w:type="dxa" w:w="2076"/>
            <w:tcBorders>
              <w:top w:val="none" w:color="000000" w:sz="4"/>
              <w:left w:val="none" w:color="000000" w:sz="4"/>
              <w:bottom w:val="single" w:color="000000" w:sz="4"/>
              <w:right w:val="single" w:color="000000" w:sz="4"/>
            </w:tcBorders>
            <w:vAlign w:val="top"/>
          </w:tcPr>
          <w:p>
            <w:r>
              <w:rPr>
                <w:sz w:val="22"/>
              </w:rPr>
              <w:t>12位，必填项</w:t>
            </w:r>
          </w:p>
        </w:tc>
      </w:tr>
      <w:tr>
        <w:tc>
          <w:tcPr>
            <w:tcW w:type="dxa" w:w="2076"/>
            <w:tcBorders>
              <w:top w:val="none" w:color="000000" w:sz="4"/>
              <w:left w:val="single" w:color="000000" w:sz="4"/>
              <w:bottom w:val="single" w:color="000000" w:sz="4"/>
              <w:right w:val="single" w:color="000000" w:sz="4"/>
            </w:tcBorders>
            <w:vAlign w:val="top"/>
          </w:tcPr>
          <w:p>
            <w:r>
              <w:rPr>
                <w:sz w:val="22"/>
              </w:rPr>
              <w:t>法定代表人：</w:t>
            </w:r>
          </w:p>
        </w:tc>
        <w:tc>
          <w:tcPr>
            <w:tcW w:type="dxa" w:w="2076"/>
            <w:tcBorders>
              <w:top w:val="none" w:color="000000" w:sz="4"/>
              <w:left w:val="none" w:color="000000" w:sz="4"/>
              <w:bottom w:val="single" w:color="000000" w:sz="4"/>
              <w:right w:val="single" w:color="000000" w:sz="4"/>
            </w:tcBorders>
            <w:vAlign w:val="top"/>
          </w:tcPr>
          <w:p>
            <w:r>
              <w:rPr>
                <w:sz w:val="22"/>
              </w:rPr>
              <w:t>邱学青</w:t>
            </w:r>
          </w:p>
        </w:tc>
        <w:tc>
          <w:tcPr>
            <w:tcW w:type="dxa" w:w="2076"/>
            <w:tcBorders>
              <w:top w:val="none" w:color="000000" w:sz="4"/>
              <w:left w:val="none" w:color="000000" w:sz="4"/>
              <w:bottom w:val="single" w:color="000000" w:sz="4"/>
              <w:right w:val="single" w:color="000000" w:sz="4"/>
            </w:tcBorders>
            <w:vAlign w:val="top"/>
          </w:tcPr>
          <w:p>
            <w:r>
              <w:rPr>
                <w:sz w:val="22"/>
              </w:rPr>
              <w:t>法定代表人：</w:t>
            </w:r>
          </w:p>
        </w:tc>
        <w:tc>
          <w:tcPr>
            <w:tcW w:type="dxa" w:w="2076"/>
            <w:tcBorders>
              <w:top w:val="none" w:color="000000" w:sz="4"/>
              <w:left w:val="none" w:color="000000" w:sz="4"/>
              <w:bottom w:val="single" w:color="000000" w:sz="4"/>
              <w:right w:val="single" w:color="000000" w:sz="4"/>
            </w:tcBorders>
            <w:vAlign w:val="top"/>
          </w:tcPr>
          <w:p/>
        </w:tc>
      </w:tr>
      <w:tr>
        <w:tc>
          <w:tcPr>
            <w:tcW w:type="dxa" w:w="2076"/>
            <w:tcBorders>
              <w:top w:val="none" w:color="000000" w:sz="4"/>
              <w:left w:val="single" w:color="000000" w:sz="4"/>
              <w:bottom w:val="single" w:color="000000" w:sz="4"/>
              <w:right w:val="single" w:color="000000" w:sz="4"/>
            </w:tcBorders>
            <w:vAlign w:val="top"/>
          </w:tcPr>
          <w:p>
            <w:r>
              <w:rPr>
                <w:sz w:val="22"/>
              </w:rPr>
              <w:t>委托代理人：</w:t>
            </w:r>
          </w:p>
        </w:tc>
        <w:tc>
          <w:tcPr>
            <w:tcW w:type="dxa" w:w="2076"/>
            <w:tcBorders>
              <w:top w:val="none" w:color="000000" w:sz="4"/>
              <w:left w:val="none" w:color="000000" w:sz="4"/>
              <w:bottom w:val="single" w:color="000000" w:sz="4"/>
              <w:right w:val="single" w:color="000000" w:sz="4"/>
            </w:tcBorders>
            <w:vAlign w:val="top"/>
          </w:tcPr>
          <w:p/>
        </w:tc>
        <w:tc>
          <w:tcPr>
            <w:tcW w:type="dxa" w:w="2076"/>
            <w:tcBorders>
              <w:top w:val="none" w:color="000000" w:sz="4"/>
              <w:left w:val="none" w:color="000000" w:sz="4"/>
              <w:bottom w:val="single" w:color="000000" w:sz="4"/>
              <w:right w:val="single" w:color="000000" w:sz="4"/>
            </w:tcBorders>
            <w:vAlign w:val="top"/>
          </w:tcPr>
          <w:p>
            <w:r>
              <w:rPr>
                <w:sz w:val="22"/>
              </w:rPr>
              <w:t>委托代理人：</w:t>
            </w:r>
          </w:p>
        </w:tc>
        <w:tc>
          <w:tcPr>
            <w:tcW w:type="dxa" w:w="2076"/>
            <w:tcBorders>
              <w:top w:val="none" w:color="000000" w:sz="4"/>
              <w:left w:val="none" w:color="000000" w:sz="4"/>
              <w:bottom w:val="single" w:color="000000" w:sz="4"/>
              <w:right w:val="single" w:color="000000" w:sz="4"/>
            </w:tcBorders>
            <w:vAlign w:val="top"/>
          </w:tcPr>
          <w:p>
            <w:r>
              <w:rPr>
                <w:sz w:val="22"/>
              </w:rPr>
              <w:t xml:space="preserve"> </w:t>
            </w:r>
          </w:p>
        </w:tc>
      </w:tr>
      <w:tr>
        <w:tc>
          <w:tcPr>
            <w:tcW w:type="dxa" w:w="2076"/>
            <w:tcBorders>
              <w:top w:val="none" w:color="000000" w:sz="4"/>
              <w:left w:val="single" w:color="000000" w:sz="4"/>
              <w:bottom w:val="single" w:color="000000" w:sz="4"/>
              <w:right w:val="single" w:color="000000" w:sz="4"/>
            </w:tcBorders>
            <w:vAlign w:val="top"/>
          </w:tcPr>
          <w:p>
            <w:r>
              <w:rPr>
                <w:sz w:val="22"/>
              </w:rPr>
              <w:t>项目负责人：</w:t>
            </w:r>
          </w:p>
        </w:tc>
        <w:tc>
          <w:tcPr>
            <w:tcW w:type="dxa" w:w="2076"/>
            <w:tcBorders>
              <w:top w:val="none" w:color="000000" w:sz="4"/>
              <w:left w:val="none" w:color="000000" w:sz="4"/>
              <w:bottom w:val="single" w:color="000000" w:sz="4"/>
              <w:right w:val="single" w:color="000000" w:sz="4"/>
            </w:tcBorders>
            <w:vAlign w:val="top"/>
          </w:tcPr>
          <w:p/>
        </w:tc>
        <w:tc>
          <w:tcPr>
            <w:tcW w:type="dxa" w:w="2076"/>
            <w:tcBorders>
              <w:top w:val="none" w:color="000000" w:sz="4"/>
              <w:left w:val="none" w:color="000000" w:sz="4"/>
              <w:bottom w:val="single" w:color="000000" w:sz="4"/>
              <w:right w:val="single" w:color="000000" w:sz="4"/>
            </w:tcBorders>
            <w:vAlign w:val="top"/>
          </w:tcPr>
          <w:p>
            <w:r>
              <w:rPr>
                <w:sz w:val="22"/>
              </w:rPr>
              <w:t>经</w:t>
            </w:r>
            <w:r>
              <w:rPr>
                <w:sz w:val="22"/>
              </w:rPr>
              <w:t xml:space="preserve"> </w:t>
            </w:r>
            <w:r>
              <w:rPr>
                <w:sz w:val="22"/>
              </w:rPr>
              <w:t>办</w:t>
            </w:r>
            <w:r>
              <w:rPr>
                <w:sz w:val="22"/>
              </w:rPr>
              <w:t xml:space="preserve"> </w:t>
            </w:r>
            <w:r>
              <w:rPr>
                <w:sz w:val="22"/>
              </w:rPr>
              <w:t>人：</w:t>
            </w:r>
          </w:p>
        </w:tc>
        <w:tc>
          <w:tcPr>
            <w:tcW w:type="dxa" w:w="2076"/>
            <w:tcBorders>
              <w:top w:val="none" w:color="000000" w:sz="4"/>
              <w:left w:val="none" w:color="000000" w:sz="4"/>
              <w:bottom w:val="single" w:color="000000" w:sz="4"/>
              <w:right w:val="single" w:color="000000" w:sz="4"/>
            </w:tcBorders>
            <w:vAlign w:val="top"/>
          </w:tcPr>
          <w:p/>
        </w:tc>
      </w:tr>
      <w:tr>
        <w:tc>
          <w:tcPr>
            <w:tcW w:type="dxa" w:w="2076"/>
            <w:tcBorders>
              <w:top w:val="none" w:color="000000" w:sz="4"/>
              <w:left w:val="single" w:color="000000" w:sz="4"/>
              <w:bottom w:val="single" w:color="000000" w:sz="4"/>
              <w:right w:val="single" w:color="000000" w:sz="4"/>
            </w:tcBorders>
            <w:vAlign w:val="top"/>
          </w:tcPr>
          <w:p>
            <w:r>
              <w:rPr>
                <w:sz w:val="22"/>
              </w:rPr>
              <w:t>经</w:t>
            </w:r>
            <w:r>
              <w:rPr>
                <w:sz w:val="22"/>
              </w:rPr>
              <w:t xml:space="preserve"> </w:t>
            </w:r>
            <w:r>
              <w:rPr>
                <w:sz w:val="22"/>
              </w:rPr>
              <w:t>办</w:t>
            </w:r>
            <w:r>
              <w:rPr>
                <w:sz w:val="22"/>
              </w:rPr>
              <w:t xml:space="preserve"> </w:t>
            </w:r>
            <w:r>
              <w:rPr>
                <w:sz w:val="22"/>
              </w:rPr>
              <w:t>人：</w:t>
            </w:r>
          </w:p>
        </w:tc>
        <w:tc>
          <w:tcPr>
            <w:tcW w:type="dxa" w:w="2076"/>
            <w:tcBorders>
              <w:top w:val="none" w:color="000000" w:sz="4"/>
              <w:left w:val="none" w:color="000000" w:sz="4"/>
              <w:bottom w:val="single" w:color="000000" w:sz="4"/>
              <w:right w:val="single" w:color="000000" w:sz="4"/>
            </w:tcBorders>
            <w:vAlign w:val="top"/>
          </w:tcPr>
          <w:p/>
        </w:tc>
        <w:tc>
          <w:tcPr>
            <w:tcW w:type="dxa" w:w="2076"/>
            <w:tcBorders>
              <w:top w:val="none" w:color="000000" w:sz="4"/>
              <w:left w:val="none" w:color="000000" w:sz="4"/>
              <w:bottom w:val="single" w:color="000000" w:sz="4"/>
              <w:right w:val="single" w:color="000000" w:sz="4"/>
            </w:tcBorders>
            <w:vAlign w:val="top"/>
          </w:tcPr>
          <w:p/>
        </w:tc>
        <w:tc>
          <w:tcPr>
            <w:tcW w:type="dxa" w:w="2076"/>
            <w:tcBorders>
              <w:top w:val="none" w:color="000000" w:sz="4"/>
              <w:left w:val="none" w:color="000000" w:sz="4"/>
              <w:bottom w:val="single" w:color="000000" w:sz="4"/>
              <w:right w:val="single" w:color="000000" w:sz="4"/>
            </w:tcBorders>
            <w:vAlign w:val="top"/>
          </w:tcPr>
          <w:p/>
        </w:tc>
      </w:tr>
      <w:tr>
        <w:tc>
          <w:tcPr>
            <w:tcW w:type="dxa" w:w="2076"/>
            <w:tcBorders>
              <w:top w:val="none" w:color="000000" w:sz="4"/>
              <w:left w:val="single" w:color="000000" w:sz="4"/>
              <w:bottom w:val="single" w:color="000000" w:sz="4"/>
              <w:right w:val="single" w:color="000000" w:sz="4"/>
            </w:tcBorders>
            <w:vAlign w:val="top"/>
          </w:tcPr>
          <w:p>
            <w:r>
              <w:rPr>
                <w:sz w:val="22"/>
              </w:rPr>
              <w:t>电　　</w:t>
            </w:r>
            <w:r>
              <w:rPr>
                <w:sz w:val="22"/>
              </w:rPr>
              <w:t xml:space="preserve"> </w:t>
            </w:r>
            <w:r>
              <w:rPr>
                <w:sz w:val="22"/>
              </w:rPr>
              <w:t>话：</w:t>
            </w:r>
          </w:p>
        </w:tc>
        <w:tc>
          <w:tcPr>
            <w:tcW w:type="dxa" w:w="2076"/>
            <w:tcBorders>
              <w:top w:val="none" w:color="000000" w:sz="4"/>
              <w:left w:val="none" w:color="000000" w:sz="4"/>
              <w:bottom w:val="single" w:color="000000" w:sz="4"/>
              <w:right w:val="single" w:color="000000" w:sz="4"/>
            </w:tcBorders>
            <w:vAlign w:val="top"/>
          </w:tcPr>
          <w:p>
            <w:r>
              <w:rPr>
                <w:sz w:val="22"/>
              </w:rPr>
              <w:t>020-</w:t>
            </w:r>
            <w:r>
              <w:rPr>
                <w:sz w:val="22"/>
              </w:rPr>
              <w:t>********</w:t>
            </w:r>
          </w:p>
        </w:tc>
        <w:tc>
          <w:tcPr>
            <w:tcW w:type="dxa" w:w="2076"/>
            <w:tcBorders>
              <w:top w:val="none" w:color="000000" w:sz="4"/>
              <w:left w:val="none" w:color="000000" w:sz="4"/>
              <w:bottom w:val="single" w:color="000000" w:sz="4"/>
              <w:right w:val="single" w:color="000000" w:sz="4"/>
            </w:tcBorders>
            <w:vAlign w:val="top"/>
          </w:tcPr>
          <w:p>
            <w:r>
              <w:rPr>
                <w:sz w:val="22"/>
              </w:rPr>
              <w:t>电</w:t>
            </w:r>
            <w:r>
              <w:rPr>
                <w:sz w:val="22"/>
              </w:rPr>
              <w:t xml:space="preserve">     </w:t>
            </w:r>
            <w:r>
              <w:rPr>
                <w:sz w:val="22"/>
              </w:rPr>
              <w:t>话：</w:t>
            </w:r>
          </w:p>
        </w:tc>
        <w:tc>
          <w:tcPr>
            <w:tcW w:type="dxa" w:w="2076"/>
            <w:tcBorders>
              <w:top w:val="none" w:color="000000" w:sz="4"/>
              <w:left w:val="none" w:color="000000" w:sz="4"/>
              <w:bottom w:val="single" w:color="000000" w:sz="4"/>
              <w:right w:val="single" w:color="000000" w:sz="4"/>
            </w:tcBorders>
            <w:vAlign w:val="top"/>
          </w:tcPr>
          <w:p>
            <w:r>
              <w:rPr>
                <w:sz w:val="22"/>
              </w:rPr>
              <w:t>020-</w:t>
            </w:r>
            <w:r>
              <w:rPr>
                <w:sz w:val="22"/>
              </w:rPr>
              <w:t>********</w:t>
            </w:r>
          </w:p>
        </w:tc>
      </w:tr>
      <w:tr>
        <w:tc>
          <w:tcPr>
            <w:tcW w:type="dxa" w:w="2076"/>
            <w:tcBorders>
              <w:top w:val="none" w:color="000000" w:sz="4"/>
              <w:left w:val="single" w:color="000000" w:sz="4"/>
              <w:bottom w:val="single" w:color="000000" w:sz="4"/>
              <w:right w:val="single" w:color="000000" w:sz="4"/>
            </w:tcBorders>
            <w:vAlign w:val="top"/>
          </w:tcPr>
          <w:p>
            <w:r>
              <w:rPr>
                <w:sz w:val="22"/>
              </w:rPr>
              <w:t>签</w:t>
            </w:r>
            <w:r>
              <w:rPr>
                <w:sz w:val="22"/>
              </w:rPr>
              <w:t>订</w:t>
            </w:r>
            <w:r>
              <w:rPr>
                <w:sz w:val="22"/>
              </w:rPr>
              <w:t>时</w:t>
            </w:r>
            <w:r>
              <w:rPr>
                <w:sz w:val="22"/>
              </w:rPr>
              <w:t>间：</w:t>
            </w:r>
          </w:p>
        </w:tc>
        <w:tc>
          <w:tcPr>
            <w:tcW w:type="dxa" w:w="2076"/>
            <w:tcBorders>
              <w:top w:val="none" w:color="000000" w:sz="4"/>
              <w:left w:val="none" w:color="000000" w:sz="4"/>
              <w:bottom w:val="single" w:color="000000" w:sz="4"/>
              <w:right w:val="single" w:color="000000" w:sz="4"/>
            </w:tcBorders>
            <w:vAlign w:val="top"/>
          </w:tcPr>
          <w:p>
            <w:r>
              <w:rPr>
                <w:sz w:val="22"/>
              </w:rPr>
              <w:t>20  年   月   日</w:t>
            </w:r>
          </w:p>
        </w:tc>
        <w:tc>
          <w:tcPr>
            <w:tcW w:type="dxa" w:w="2076"/>
            <w:tcBorders>
              <w:top w:val="none" w:color="000000" w:sz="4"/>
              <w:left w:val="none" w:color="000000" w:sz="4"/>
              <w:bottom w:val="single" w:color="000000" w:sz="4"/>
              <w:right w:val="single" w:color="000000" w:sz="4"/>
            </w:tcBorders>
            <w:vAlign w:val="top"/>
          </w:tcPr>
          <w:p>
            <w:r>
              <w:rPr>
                <w:sz w:val="22"/>
              </w:rPr>
              <w:t>签</w:t>
            </w:r>
            <w:r>
              <w:rPr>
                <w:sz w:val="22"/>
              </w:rPr>
              <w:t>订</w:t>
            </w:r>
            <w:r>
              <w:rPr>
                <w:sz w:val="22"/>
              </w:rPr>
              <w:t>时</w:t>
            </w:r>
            <w:r>
              <w:rPr>
                <w:sz w:val="22"/>
              </w:rPr>
              <w:t>间：</w:t>
            </w:r>
          </w:p>
        </w:tc>
        <w:tc>
          <w:tcPr>
            <w:tcW w:type="dxa" w:w="2076"/>
            <w:tcBorders>
              <w:top w:val="none" w:color="000000" w:sz="4"/>
              <w:left w:val="none" w:color="000000" w:sz="4"/>
              <w:bottom w:val="single" w:color="000000" w:sz="4"/>
              <w:right w:val="single" w:color="000000" w:sz="4"/>
            </w:tcBorders>
            <w:vAlign w:val="top"/>
          </w:tcPr>
          <w:p>
            <w:r>
              <w:rPr>
                <w:sz w:val="22"/>
              </w:rPr>
              <w:t>20  年   月   日</w:t>
            </w:r>
          </w:p>
        </w:tc>
      </w:tr>
    </w:tbl>
    <w:p/>
    <w:p>
      <w:r>
        <w:rPr>
          <w:b/>
          <w:sz w:val="24"/>
        </w:rPr>
        <w:t>附件</w:t>
      </w:r>
      <w:r>
        <w:rPr>
          <w:b/>
          <w:sz w:val="24"/>
        </w:rPr>
        <w:t>.</w:t>
      </w:r>
      <w:r>
        <w:rPr>
          <w:sz w:val="22"/>
        </w:rPr>
        <w:t xml:space="preserve"> </w:t>
      </w:r>
      <w:r>
        <w:rPr>
          <w:b/>
          <w:sz w:val="24"/>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683"/>
        <w:gridCol w:w="2291"/>
        <w:gridCol w:w="5317"/>
      </w:tblGrid>
      <w:tr>
        <w:tc>
          <w:tcPr>
            <w:tcW w:type="dxa" w:w="683"/>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2291"/>
            <w:tcBorders>
              <w:top w:val="single" w:color="000000" w:sz="4"/>
              <w:left w:val="single" w:color="000000" w:sz="4"/>
              <w:bottom w:val="single" w:color="000000" w:sz="4"/>
              <w:right w:val="single" w:color="000000" w:sz="4"/>
            </w:tcBorders>
            <w:vAlign w:val="top"/>
          </w:tcPr>
          <w:p>
            <w:pPr>
              <w:jc w:val="center"/>
            </w:pPr>
            <w:r>
              <w:rPr>
                <w:b/>
                <w:sz w:val="24"/>
              </w:rPr>
              <w:t>名称</w:t>
            </w:r>
          </w:p>
        </w:tc>
        <w:tc>
          <w:tcPr>
            <w:tcW w:type="dxa" w:w="5317"/>
            <w:tcBorders>
              <w:top w:val="single" w:color="000000" w:sz="4"/>
              <w:left w:val="single" w:color="000000" w:sz="4"/>
              <w:bottom w:val="single" w:color="000000" w:sz="4"/>
              <w:right w:val="single" w:color="000000" w:sz="4"/>
            </w:tcBorders>
            <w:vAlign w:val="top"/>
          </w:tcPr>
          <w:p>
            <w:pPr>
              <w:jc w:val="center"/>
            </w:pPr>
            <w:r>
              <w:rPr>
                <w:b/>
                <w:sz w:val="24"/>
              </w:rPr>
              <w:t>详细配置清单及技术指标</w:t>
            </w:r>
          </w:p>
        </w:tc>
      </w:tr>
      <w:tr>
        <w:tc>
          <w:tcPr>
            <w:tcW w:type="dxa" w:w="683"/>
            <w:tcBorders>
              <w:top w:val="single" w:color="000000" w:sz="4"/>
              <w:left w:val="single" w:color="000000" w:sz="4"/>
              <w:bottom w:val="single" w:color="000000" w:sz="4"/>
              <w:right w:val="single" w:color="000000" w:sz="4"/>
            </w:tcBorders>
            <w:vAlign w:val="top"/>
          </w:tcPr>
          <w:p>
            <w:pPr>
              <w:jc w:val="center"/>
            </w:pPr>
            <w:r>
              <w:rPr>
                <w:sz w:val="24"/>
              </w:rPr>
              <w:t>1</w:t>
            </w:r>
          </w:p>
        </w:tc>
        <w:tc>
          <w:tcPr>
            <w:tcW w:type="dxa" w:w="2291"/>
            <w:tcBorders>
              <w:top w:val="single" w:color="000000" w:sz="4"/>
              <w:left w:val="single" w:color="000000" w:sz="4"/>
              <w:bottom w:val="single" w:color="000000" w:sz="4"/>
              <w:right w:val="single" w:color="000000" w:sz="4"/>
            </w:tcBorders>
            <w:vAlign w:val="top"/>
          </w:tcPr>
          <w:p/>
        </w:tc>
        <w:tc>
          <w:tcPr>
            <w:tcW w:type="dxa" w:w="5317"/>
            <w:tcBorders>
              <w:top w:val="single" w:color="000000" w:sz="4"/>
              <w:left w:val="single" w:color="000000" w:sz="4"/>
              <w:bottom w:val="single" w:color="000000" w:sz="4"/>
              <w:right w:val="single" w:color="000000" w:sz="4"/>
            </w:tcBorders>
            <w:vAlign w:val="top"/>
          </w:tcPr>
          <w:p/>
        </w:tc>
      </w:tr>
      <w:tr>
        <w:tc>
          <w:tcPr>
            <w:tcW w:type="dxa" w:w="683"/>
            <w:tcBorders>
              <w:top w:val="single" w:color="000000" w:sz="4"/>
              <w:left w:val="single" w:color="000000" w:sz="4"/>
              <w:bottom w:val="single" w:color="000000" w:sz="4"/>
              <w:right w:val="single" w:color="000000" w:sz="4"/>
            </w:tcBorders>
            <w:vAlign w:val="top"/>
          </w:tcPr>
          <w:p>
            <w:pPr>
              <w:jc w:val="center"/>
            </w:pPr>
            <w:r>
              <w:rPr>
                <w:sz w:val="24"/>
              </w:rPr>
              <w:t>2</w:t>
            </w:r>
          </w:p>
        </w:tc>
        <w:tc>
          <w:tcPr>
            <w:tcW w:type="dxa" w:w="2291"/>
            <w:tcBorders>
              <w:top w:val="single" w:color="000000" w:sz="4"/>
              <w:left w:val="single" w:color="000000" w:sz="4"/>
              <w:bottom w:val="single" w:color="000000" w:sz="4"/>
              <w:right w:val="single" w:color="000000" w:sz="4"/>
            </w:tcBorders>
            <w:vAlign w:val="top"/>
          </w:tcPr>
          <w:p/>
        </w:tc>
        <w:tc>
          <w:tcPr>
            <w:tcW w:type="dxa" w:w="5317"/>
            <w:tcBorders>
              <w:top w:val="single" w:color="000000" w:sz="4"/>
              <w:left w:val="single" w:color="000000" w:sz="4"/>
              <w:bottom w:val="single" w:color="000000" w:sz="4"/>
              <w:right w:val="single" w:color="000000" w:sz="4"/>
            </w:tcBorders>
            <w:vAlign w:val="top"/>
          </w:tcPr>
          <w:p>
            <w:pPr>
              <w:jc w:val="center"/>
            </w:pPr>
          </w:p>
        </w:tc>
      </w:tr>
      <w:tr>
        <w:tc>
          <w:tcPr>
            <w:tcW w:type="dxa" w:w="683"/>
            <w:tcBorders>
              <w:top w:val="single" w:color="000000" w:sz="4"/>
              <w:left w:val="single" w:color="000000" w:sz="4"/>
              <w:bottom w:val="single" w:color="000000" w:sz="4"/>
              <w:right w:val="single" w:color="000000" w:sz="4"/>
            </w:tcBorders>
            <w:vAlign w:val="top"/>
          </w:tcPr>
          <w:p>
            <w:pPr>
              <w:jc w:val="center"/>
            </w:pPr>
            <w:r>
              <w:rPr>
                <w:sz w:val="24"/>
              </w:rPr>
              <w:t>3</w:t>
            </w:r>
          </w:p>
        </w:tc>
        <w:tc>
          <w:tcPr>
            <w:tcW w:type="dxa" w:w="2291"/>
            <w:tcBorders>
              <w:top w:val="single" w:color="000000" w:sz="4"/>
              <w:left w:val="single" w:color="000000" w:sz="4"/>
              <w:bottom w:val="single" w:color="000000" w:sz="4"/>
              <w:right w:val="single" w:color="000000" w:sz="4"/>
            </w:tcBorders>
            <w:vAlign w:val="top"/>
          </w:tcPr>
          <w:p/>
        </w:tc>
        <w:tc>
          <w:tcPr>
            <w:tcW w:type="dxa" w:w="5317"/>
            <w:tcBorders>
              <w:top w:val="single" w:color="000000" w:sz="4"/>
              <w:left w:val="single" w:color="000000" w:sz="4"/>
              <w:bottom w:val="single" w:color="000000" w:sz="4"/>
              <w:right w:val="single" w:color="000000" w:sz="4"/>
            </w:tcBorders>
            <w:vAlign w:val="top"/>
          </w:tcPr>
          <w:p>
            <w:pPr>
              <w:jc w:val="center"/>
            </w:pPr>
          </w:p>
        </w:tc>
      </w:tr>
      <w:tr>
        <w:tc>
          <w:tcPr>
            <w:tcW w:type="dxa" w:w="683"/>
            <w:tcBorders>
              <w:top w:val="single" w:color="000000" w:sz="4"/>
              <w:left w:val="single" w:color="000000" w:sz="4"/>
              <w:bottom w:val="single" w:color="000000" w:sz="4"/>
              <w:right w:val="single" w:color="000000" w:sz="4"/>
            </w:tcBorders>
            <w:vAlign w:val="top"/>
          </w:tcPr>
          <w:p>
            <w:pPr>
              <w:jc w:val="center"/>
            </w:pPr>
            <w:r>
              <w:rPr>
                <w:sz w:val="24"/>
              </w:rPr>
              <w:t>4</w:t>
            </w:r>
          </w:p>
        </w:tc>
        <w:tc>
          <w:tcPr>
            <w:tcW w:type="dxa" w:w="2291"/>
            <w:tcBorders>
              <w:top w:val="single" w:color="000000" w:sz="4"/>
              <w:left w:val="single" w:color="000000" w:sz="4"/>
              <w:bottom w:val="single" w:color="000000" w:sz="4"/>
              <w:right w:val="single" w:color="000000" w:sz="4"/>
            </w:tcBorders>
            <w:vAlign w:val="top"/>
          </w:tcPr>
          <w:p/>
        </w:tc>
        <w:tc>
          <w:tcPr>
            <w:tcW w:type="dxa" w:w="5317"/>
            <w:tcBorders>
              <w:top w:val="single" w:color="000000" w:sz="4"/>
              <w:left w:val="single" w:color="000000" w:sz="4"/>
              <w:bottom w:val="single" w:color="000000" w:sz="4"/>
              <w:right w:val="single" w:color="000000" w:sz="4"/>
            </w:tcBorders>
            <w:vAlign w:val="top"/>
          </w:tcPr>
          <w:p>
            <w:pPr>
              <w:jc w:val="center"/>
            </w:pPr>
          </w:p>
        </w:tc>
      </w:tr>
      <w:tr>
        <w:tc>
          <w:tcPr>
            <w:tcW w:type="dxa" w:w="683"/>
            <w:tcBorders>
              <w:top w:val="single" w:color="000000" w:sz="4"/>
              <w:left w:val="single" w:color="000000" w:sz="4"/>
              <w:bottom w:val="single" w:color="000000" w:sz="4"/>
              <w:right w:val="single" w:color="000000" w:sz="4"/>
            </w:tcBorders>
            <w:vAlign w:val="top"/>
          </w:tcPr>
          <w:p>
            <w:pPr>
              <w:jc w:val="center"/>
            </w:pPr>
            <w:r>
              <w:rPr>
                <w:sz w:val="24"/>
              </w:rPr>
              <w:t>5</w:t>
            </w:r>
          </w:p>
        </w:tc>
        <w:tc>
          <w:tcPr>
            <w:tcW w:type="dxa" w:w="2291"/>
            <w:tcBorders>
              <w:top w:val="single" w:color="000000" w:sz="4"/>
              <w:left w:val="single" w:color="000000" w:sz="4"/>
              <w:bottom w:val="single" w:color="000000" w:sz="4"/>
              <w:right w:val="single" w:color="000000" w:sz="4"/>
            </w:tcBorders>
            <w:vAlign w:val="top"/>
          </w:tcPr>
          <w:p/>
        </w:tc>
        <w:tc>
          <w:tcPr>
            <w:tcW w:type="dxa" w:w="5317"/>
            <w:tcBorders>
              <w:top w:val="single" w:color="000000" w:sz="4"/>
              <w:left w:val="single" w:color="000000" w:sz="4"/>
              <w:bottom w:val="single" w:color="000000" w:sz="4"/>
              <w:right w:val="single" w:color="000000" w:sz="4"/>
            </w:tcBorders>
            <w:vAlign w:val="top"/>
          </w:tcPr>
          <w:p>
            <w:pPr>
              <w:jc w:val="center"/>
            </w:pPr>
          </w:p>
        </w:tc>
      </w:tr>
      <w:tr>
        <w:tc>
          <w:tcPr>
            <w:tcW w:type="dxa" w:w="683"/>
            <w:tcBorders>
              <w:top w:val="single" w:color="000000" w:sz="4"/>
              <w:left w:val="single" w:color="000000" w:sz="4"/>
              <w:bottom w:val="single" w:color="000000" w:sz="4"/>
              <w:right w:val="single" w:color="000000" w:sz="4"/>
            </w:tcBorders>
            <w:vAlign w:val="top"/>
          </w:tcPr>
          <w:p>
            <w:pPr>
              <w:jc w:val="center"/>
            </w:pPr>
            <w:r>
              <w:rPr>
                <w:sz w:val="24"/>
              </w:rPr>
              <w:t>6</w:t>
            </w:r>
          </w:p>
        </w:tc>
        <w:tc>
          <w:tcPr>
            <w:tcW w:type="dxa" w:w="2291"/>
            <w:tcBorders>
              <w:top w:val="single" w:color="000000" w:sz="4"/>
              <w:left w:val="single" w:color="000000" w:sz="4"/>
              <w:bottom w:val="single" w:color="000000" w:sz="4"/>
              <w:right w:val="single" w:color="000000" w:sz="4"/>
            </w:tcBorders>
            <w:vAlign w:val="top"/>
          </w:tcPr>
          <w:p/>
        </w:tc>
        <w:tc>
          <w:tcPr>
            <w:tcW w:type="dxa" w:w="5317"/>
            <w:tcBorders>
              <w:top w:val="single" w:color="000000" w:sz="4"/>
              <w:left w:val="single" w:color="000000" w:sz="4"/>
              <w:bottom w:val="single" w:color="000000" w:sz="4"/>
              <w:right w:val="single" w:color="000000" w:sz="4"/>
            </w:tcBorders>
            <w:vAlign w:val="top"/>
          </w:tcPr>
          <w:p>
            <w:pPr>
              <w:jc w:val="center"/>
            </w:pPr>
          </w:p>
        </w:tc>
      </w:tr>
    </w:tbl>
    <w:p>
      <w:pPr>
        <w:ind w:firstLine="440"/>
      </w:pPr>
    </w:p>
    <w:p>
      <w:pPr>
        <w:ind w:firstLine="440"/>
      </w:pPr>
    </w:p>
    <w:p/>
    <w:p/>
    <w:p>
      <w:pPr>
        <w:ind w:firstLine="440"/>
      </w:pPr>
    </w:p>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440001-2023-57819</w:t>
      </w:r>
    </w:p>
    <w:p>
      <w:pPr>
        <w:jc w:val="center"/>
      </w:pPr>
      <w:r>
        <w:rPr>
          <w:b/>
          <w:sz w:val="24"/>
        </w:rPr>
        <w:t>采购项目编号：</w:t>
      </w:r>
      <w:r>
        <w:rPr>
          <w:b/>
          <w:sz w:val="24"/>
        </w:rPr>
        <w:t>1371-2341GDGH1332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广东国和采购咨询有限公司</w:t>
      </w:r>
    </w:p>
    <w:p>
      <w:pPr>
        <w:ind w:firstLine="480"/>
      </w:pPr>
      <w:r>
        <w:rPr/>
        <w:t>你方组织的</w:t>
      </w:r>
      <w:r>
        <w:rPr>
          <w:u w:val="single"/>
        </w:rPr>
        <w:t>“</w:t>
      </w:r>
      <w:r>
        <w:rPr>
          <w:u w:val="single"/>
        </w:rPr>
        <w:t>荧光量子效率测量系统等设备采购</w:t>
      </w:r>
      <w:r>
        <w:rPr>
          <w:u w:val="single"/>
        </w:rPr>
        <w:t>”</w:t>
      </w:r>
      <w:r>
        <w:rPr/>
        <w:t>项目的招标[采购项目编号为：</w:t>
      </w:r>
      <w:r>
        <w:rPr>
          <w:u w:val="single"/>
        </w:rPr>
        <w:t>1371-2341GDGH1332</w:t>
      </w:r>
      <w:r>
        <w:rPr/>
        <w:t>]，我方愿参与投标。</w:t>
      </w:r>
    </w:p>
    <w:p>
      <w:pPr>
        <w:ind w:firstLine="480"/>
      </w:pPr>
      <w:r>
        <w:rPr/>
        <w:t>我方确认收到贵方提供的</w:t>
      </w:r>
      <w:r>
        <w:rPr>
          <w:u w:val="single"/>
        </w:rPr>
        <w:t>“</w:t>
      </w:r>
      <w:r>
        <w:rPr>
          <w:u w:val="single"/>
        </w:rPr>
        <w:t>荧光量子效率测量系统等设备采购</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广东国和采购咨询有限公司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荧光量子效率测量系统等设备采购</w:t>
      </w:r>
      <w:r>
        <w:rPr/>
        <w:t>”项目采购[采购项目编号为</w:t>
      </w:r>
      <w:r>
        <w:rPr/>
        <w:t>1371-2341GDGH1332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广东工业大学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广东国和采购咨询有限公司</w:t>
      </w:r>
    </w:p>
    <w:p>
      <w:pPr>
        <w:ind w:firstLine="480"/>
      </w:pPr>
      <w:r>
        <w:rPr/>
        <w:t>如果我方在贵采购代理机构组织的</w:t>
      </w:r>
      <w:r>
        <w:rPr/>
        <w:t>荧光量子效率测量系统等设备采购</w:t>
      </w:r>
      <w:r>
        <w:rPr/>
        <w:t>招标中获中标（采购项目编号：</w:t>
      </w:r>
      <w:r>
        <w:rPr/>
        <w:t>1371-2341GDGH1332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广东国和采购咨询有限公司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广东国和采购咨询有限公司</w:t>
      </w:r>
    </w:p>
    <w:p>
      <w:pPr>
        <w:ind w:firstLine="480"/>
      </w:pPr>
      <w:r>
        <w:rPr/>
        <w:t>我单位已登记并准备参与“</w:t>
      </w:r>
      <w:r>
        <w:rPr/>
        <w:t>荧光量子效率测量系统等设备采购</w:t>
      </w:r>
      <w:r>
        <w:rPr/>
        <w:t>”项目（采购项目编号：</w:t>
      </w:r>
      <w:r>
        <w:rPr/>
        <w:t>1371-2341GDGH1332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