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440001-2022-44414</w:t>
      </w:r>
    </w:p>
    <w:p>
      <w:pPr>
        <w:jc w:val="center"/>
      </w:pPr>
      <w:r>
        <w:rPr>
          <w:b/>
          <w:sz w:val="24"/>
        </w:rPr>
        <w:t>采购项目编号：</w:t>
      </w:r>
      <w:r>
        <w:rPr>
          <w:b/>
          <w:sz w:val="24"/>
        </w:rPr>
        <w:t>0835-220Z12307231</w:t>
      </w:r>
    </w:p>
    <w:p>
      <w:pPr>
        <w:jc w:val="center"/>
      </w:pPr>
      <w:r>
        <w:rPr>
          <w:b/>
          <w:sz w:val="24"/>
        </w:rPr>
        <w:t>项目名称：</w:t>
      </w:r>
      <w:r>
        <w:rPr>
          <w:b/>
          <w:sz w:val="24"/>
        </w:rPr>
        <w:t>高端芯片系统级测试分选设备采购项目</w:t>
      </w:r>
    </w:p>
    <w:p>
      <w:pPr>
        <w:jc w:val="center"/>
      </w:pPr>
      <w:r>
        <w:rPr>
          <w:b/>
          <w:sz w:val="24"/>
        </w:rPr>
        <w:t>采购人：</w:t>
      </w:r>
      <w:r>
        <w:rPr>
          <w:b/>
          <w:sz w:val="24"/>
        </w:rPr>
        <w:t>广东工业大学</w:t>
      </w:r>
    </w:p>
    <w:p>
      <w:pPr>
        <w:jc w:val="center"/>
      </w:pPr>
      <w:r>
        <w:rPr>
          <w:b/>
          <w:sz w:val="24"/>
        </w:rPr>
        <w:t>采购代理机构：</w:t>
      </w:r>
      <w:r>
        <w:rPr>
          <w:b/>
          <w:sz w:val="24"/>
        </w:rPr>
        <w:t>广东元正招标采购有限公司</w:t>
      </w:r>
    </w:p>
    <w:p>
      <w:pPr>
        <w:ind w:firstLine="480"/>
      </w:pPr>
    </w:p>
    <w:p>
      <w:r>
        <w:rPr/>
        <w:t xml:space="preserve"> </w:t>
      </w:r>
    </w:p>
    <w:p/>
    <w:p>
      <w:pPr>
        <w:jc w:val="center"/>
      </w:pPr>
      <w:r>
        <w:rPr>
          <w:b/>
          <w:sz w:val="36"/>
        </w:rPr>
        <w:t>第一章投标邀请</w:t>
      </w:r>
    </w:p>
    <w:p>
      <w:pPr>
        <w:ind w:firstLine="480"/>
      </w:pPr>
      <w:r>
        <w:rPr/>
        <w:t>广东元正招标采购有限公司</w:t>
      </w:r>
      <w:r>
        <w:rPr/>
        <w:t>受</w:t>
      </w:r>
      <w:r>
        <w:rPr/>
        <w:t>广东工业大学</w:t>
      </w:r>
      <w:r>
        <w:rPr/>
        <w:t>的委托，采用</w:t>
      </w:r>
      <w:r>
        <w:rPr/>
        <w:t>公开招标</w:t>
      </w:r>
      <w:r>
        <w:rPr/>
        <w:t>方式组织采购</w:t>
      </w:r>
      <w:r>
        <w:rPr/>
        <w:t>高端芯片系统级测试分选设备采购项目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高端芯片系统级测试分选设备采购项目</w:t>
      </w:r>
    </w:p>
    <w:p>
      <w:pPr>
        <w:ind w:firstLine="480"/>
      </w:pPr>
      <w:r>
        <w:rPr/>
        <w:t>采购计划编号：</w:t>
      </w:r>
      <w:r>
        <w:rPr/>
        <w:t>440001-2022-44414</w:t>
      </w:r>
    </w:p>
    <w:p>
      <w:pPr>
        <w:ind w:firstLine="480"/>
      </w:pPr>
      <w:r>
        <w:rPr/>
        <w:t>采购项目编号：</w:t>
      </w:r>
      <w:r>
        <w:rPr/>
        <w:t>0835-220Z12307231</w:t>
      </w:r>
    </w:p>
    <w:p>
      <w:pPr>
        <w:ind w:firstLine="480"/>
      </w:pPr>
      <w:r>
        <w:rPr/>
        <w:t>采购方式：</w:t>
      </w:r>
      <w:r>
        <w:rPr/>
        <w:t>公开招标</w:t>
      </w:r>
    </w:p>
    <w:p>
      <w:pPr>
        <w:ind w:firstLine="480"/>
      </w:pPr>
      <w:r>
        <w:rPr/>
        <w:t>预算金额：</w:t>
      </w:r>
      <w:r>
        <w:rPr/>
        <w:t>4,500,000.00</w:t>
      </w:r>
      <w:r>
        <w:rPr/>
        <w:t>元</w:t>
      </w:r>
    </w:p>
    <w:p>
      <w:r>
        <w:rPr>
          <w:b/>
          <w:sz w:val="24"/>
        </w:rPr>
        <w:t>2.项目内容及需求情况（采购项目技术规格、参数及要求）</w:t>
      </w:r>
    </w:p>
    <w:p>
      <w:pPr>
        <w:ind w:firstLine="480"/>
      </w:pPr>
    </w:p>
    <w:p/>
    <w:p>
      <w:r>
        <w:rPr/>
        <w:t>采购包1(高端芯片系统级测试分选设备采购):</w:t>
      </w:r>
    </w:p>
    <w:p>
      <w:r>
        <w:rPr/>
        <w:t>采购包预算金额：4,500,000.00元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其他专用仪器仪表</w:t>
            </w:r>
          </w:p>
        </w:tc>
        <w:tc>
          <w:tcPr>
            <w:tcW w:type="dxa" w:w="2052"/>
          </w:tcPr>
          <w:p>
            <w:r>
              <w:rPr/>
              <w:t>高端芯片系统级测试分选设备采购</w:t>
            </w:r>
          </w:p>
        </w:tc>
        <w:tc>
          <w:tcPr>
            <w:tcW w:type="dxa" w:w="977"/>
          </w:tcPr>
          <w:p>
            <w:r>
              <w:rPr/>
              <w:t>1.0000(台)</w:t>
            </w:r>
          </w:p>
        </w:tc>
        <w:tc>
          <w:tcPr>
            <w:tcW w:type="dxa" w:w="977"/>
          </w:tcPr>
          <w:p>
            <w:r>
              <w:rPr/>
              <w:t>详见第二章</w:t>
            </w:r>
          </w:p>
        </w:tc>
        <w:tc>
          <w:tcPr>
            <w:tcW w:type="dxa" w:w="977"/>
          </w:tcPr>
          <w:p>
            <w:r>
              <w:rPr/>
              <w:t>4,500,000.00</w:t>
            </w:r>
          </w:p>
        </w:tc>
        <w:tc>
          <w:tcPr>
            <w:tcW w:type="dxa" w:w="977"/>
          </w:tcPr>
          <w:p>
            <w:r>
              <w:rPr/>
              <w:t>否</w:t>
            </w:r>
          </w:p>
        </w:tc>
      </w:tr>
    </w:tbl>
    <w:p/>
    <w:p>
      <w:r>
        <w:rPr/>
        <w:t>本采购包不接受联合体投标</w:t>
      </w:r>
    </w:p>
    <w:p/>
    <w:p>
      <w:r>
        <w:rPr/>
        <w:t>合同履行期限：合同生效90天内乙方完成货物安装调试并交付使用。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采购包1（高端芯片系统级测试分选设备采购）：</w:t>
      </w:r>
      <w:r>
        <w:rPr/>
        <w:t>本项目不属于专门面向中小企业项目。 本项目落实促进中小企业发展政策、支持监狱企业发展政策、支持残疾人福利性单位发展政策、支持脱贫攻坚等相关政策。 本项目所属行业为工业。</w:t>
      </w:r>
    </w:p>
    <w:p/>
    <w:p>
      <w:r>
        <w:rPr>
          <w:b/>
          <w:sz w:val="24"/>
        </w:rPr>
        <w:t>3.本项目特定的资格要求：</w:t>
      </w:r>
    </w:p>
    <w:p>
      <w:pPr>
        <w:ind w:firstLine="480"/>
      </w:pPr>
    </w:p>
    <w:p/>
    <w:p>
      <w:r>
        <w:rPr/>
        <w:t>采购包1（高端芯片系统级测试分选设备采购）：</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3)本项目不接受联合体投标；不允许分包、转包。</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广东工业大学</w:t>
      </w:r>
    </w:p>
    <w:p>
      <w:pPr>
        <w:ind w:firstLine="480"/>
      </w:pPr>
      <w:r>
        <w:rPr/>
        <w:t>地址：</w:t>
      </w:r>
      <w:r>
        <w:rPr/>
        <w:t>广州市广州大学城外环西路100号</w:t>
      </w:r>
    </w:p>
    <w:p>
      <w:pPr>
        <w:ind w:firstLine="480"/>
      </w:pPr>
      <w:r>
        <w:rPr/>
        <w:t>联系方式：</w:t>
      </w:r>
      <w:r>
        <w:rPr/>
        <w:t>020-39340032</w:t>
      </w:r>
    </w:p>
    <w:p>
      <w:r>
        <w:rPr>
          <w:b/>
          <w:sz w:val="24"/>
        </w:rPr>
        <w:t>2.采购代理机构信息</w:t>
      </w:r>
    </w:p>
    <w:p>
      <w:pPr>
        <w:ind w:firstLine="480"/>
      </w:pPr>
      <w:r>
        <w:rPr/>
        <w:t>名称：</w:t>
      </w:r>
      <w:r>
        <w:rPr/>
        <w:t>广东元正招标采购有限公司</w:t>
      </w:r>
    </w:p>
    <w:p>
      <w:pPr>
        <w:ind w:firstLine="480"/>
      </w:pPr>
      <w:r>
        <w:rPr/>
        <w:t>地址：</w:t>
      </w:r>
      <w:r>
        <w:rPr/>
        <w:t>广东省广州市越秀区先烈中路102号华盛大厦北塔26楼2608</w:t>
      </w:r>
    </w:p>
    <w:p>
      <w:pPr>
        <w:ind w:firstLine="480"/>
      </w:pPr>
      <w:r>
        <w:rPr/>
        <w:t>联系方式：</w:t>
      </w:r>
      <w:r>
        <w:rPr/>
        <w:t>020-87258495-105</w:t>
      </w:r>
    </w:p>
    <w:p>
      <w:r>
        <w:rPr>
          <w:b/>
          <w:sz w:val="24"/>
        </w:rPr>
        <w:t>3.项目联系方式</w:t>
      </w:r>
    </w:p>
    <w:p>
      <w:pPr>
        <w:ind w:firstLine="480"/>
      </w:pPr>
      <w:r>
        <w:rPr/>
        <w:t>项目联系人：</w:t>
      </w:r>
      <w:r>
        <w:rPr/>
        <w:t>陈小姐、黄先生</w:t>
      </w:r>
    </w:p>
    <w:p>
      <w:pPr>
        <w:ind w:firstLine="480"/>
      </w:pPr>
      <w:r>
        <w:rPr/>
        <w:t>电话：</w:t>
      </w:r>
      <w:r>
        <w:rPr/>
        <w:t>020-87258495-105</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广东元正招标采购有限公司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b/>
          <w:color w:val="FF0000"/>
          <w:sz w:val="21"/>
        </w:rPr>
        <w:t>温馨提示：本项目为公开招标电子标，需现场开标解密；提交投标文件时，投标人需携带CA至开标现场,招标代理宣布解密开始后，投标人应在15分钟内完成电子投标文件的解密工作，因投标人自身原因导致电子投标文件在规定时间内未能成功解密的，视为无效投标。</w:t>
      </w:r>
    </w:p>
    <w:p>
      <w:pPr>
        <w:ind w:firstLine="480"/>
        <w:jc w:val="both"/>
      </w:pPr>
      <w:r>
        <w:rPr>
          <w:color w:val="0A82E5"/>
          <w:sz w:val="21"/>
        </w:rPr>
        <w:t>1</w:t>
      </w:r>
      <w:r>
        <w:rPr>
          <w:color w:val="0A82E5"/>
          <w:sz w:val="21"/>
        </w:rPr>
        <w:t>、凡标有“★”的地方为关键的商务、技术指标要求，必须完全满足这些要求，未达到这些指标要求的将导致投标无效。标“▲”号的为比较重要的商务、技术指标，未达到这些指标要求的将被严重扣分，但不会导致废标。</w:t>
      </w:r>
    </w:p>
    <w:p>
      <w:pPr>
        <w:ind w:firstLine="480"/>
        <w:jc w:val="both"/>
      </w:pPr>
      <w:r>
        <w:rPr>
          <w:color w:val="0A82E5"/>
          <w:sz w:val="21"/>
        </w:rPr>
        <w:t>2</w:t>
      </w:r>
      <w:r>
        <w:rPr>
          <w:color w:val="0A82E5"/>
          <w:sz w:val="21"/>
        </w:rPr>
        <w:t>、投标人必须对项目内的所有内容进行投标，不允许只对其中部分内容进行投标。</w:t>
      </w:r>
    </w:p>
    <w:p>
      <w:pPr>
        <w:ind w:firstLine="480"/>
        <w:jc w:val="both"/>
      </w:pPr>
      <w:r>
        <w:rPr>
          <w:color w:val="0A82E5"/>
          <w:sz w:val="21"/>
        </w:rPr>
        <w:t>3</w:t>
      </w:r>
      <w:r>
        <w:rPr>
          <w:color w:val="0A82E5"/>
          <w:sz w:val="21"/>
        </w:rPr>
        <w:t>、投标人所投设备及材料应是原厂原装、全新的产品，并符合下列要求：国家标准、行业标准以及该产品的出厂标准。</w:t>
      </w:r>
    </w:p>
    <w:p>
      <w:pPr>
        <w:ind w:firstLine="480"/>
        <w:jc w:val="both"/>
      </w:pPr>
      <w:r>
        <w:rPr>
          <w:color w:val="0A82E5"/>
          <w:sz w:val="21"/>
        </w:rPr>
        <w:t>4</w:t>
      </w:r>
      <w:r>
        <w:rPr>
          <w:color w:val="0A82E5"/>
          <w:sz w:val="21"/>
        </w:rPr>
        <w:t>、投标人应在投标分项报价表上标明本项目拟提供主要标的的名称、产地、规格型号、数量、单价、服务要求、制造商名称、每个单项的小计、整个投标的总价以及合同项下的货物来源地。</w:t>
      </w:r>
    </w:p>
    <w:p>
      <w:pPr>
        <w:ind w:firstLine="480"/>
        <w:jc w:val="both"/>
      </w:pPr>
      <w:r>
        <w:rPr>
          <w:color w:val="0A82E5"/>
          <w:sz w:val="21"/>
        </w:rPr>
        <w:t>5</w:t>
      </w:r>
      <w:r>
        <w:rPr>
          <w:color w:val="0A82E5"/>
          <w:sz w:val="21"/>
        </w:rPr>
        <w:t>、伴随服务（费用包含在投标总价内）：全部设备的技术设计、运输、安装调试、人员培训、售后服务、含税（国内产品）等费用。</w:t>
      </w:r>
    </w:p>
    <w:p>
      <w:pPr>
        <w:ind w:firstLine="480"/>
        <w:jc w:val="both"/>
      </w:pPr>
      <w:r>
        <w:rPr>
          <w:color w:val="0A82E5"/>
          <w:sz w:val="21"/>
        </w:rPr>
        <w:t>6</w:t>
      </w:r>
      <w:r>
        <w:rPr>
          <w:color w:val="0A82E5"/>
          <w:sz w:val="21"/>
        </w:rPr>
        <w:t>、根据相关规定提供相同品牌产品且通过资格审查、符合性审查的不同投标人参加同一合同项下投标的，按一家投标人计算。</w:t>
      </w:r>
    </w:p>
    <w:p>
      <w:pPr>
        <w:ind w:firstLine="480"/>
        <w:jc w:val="both"/>
      </w:pPr>
      <w:r>
        <w:rPr>
          <w:color w:val="0A82E5"/>
          <w:sz w:val="21"/>
        </w:rPr>
        <w:t>7</w:t>
      </w:r>
      <w:r>
        <w:rPr>
          <w:color w:val="0A82E5"/>
          <w:sz w:val="21"/>
        </w:rPr>
        <w:t>、根据《关于印发中小企业划型标准规定的通知》（工信部联企业〔2011〕300号）规定，本项目采购标的对应的中小企业划分标准所属行业为：</w:t>
      </w:r>
      <w:r>
        <w:rPr>
          <w:b/>
          <w:color w:val="0A82E5"/>
          <w:sz w:val="21"/>
          <w:u w:val="single"/>
        </w:rPr>
        <w:t xml:space="preserve"> </w:t>
      </w:r>
      <w:r>
        <w:rPr>
          <w:b/>
          <w:color w:val="0A82E5"/>
          <w:sz w:val="21"/>
          <w:u w:val="single"/>
        </w:rPr>
        <w:t xml:space="preserve">工业 </w:t>
      </w:r>
      <w:r>
        <w:rPr>
          <w:color w:val="0A82E5"/>
          <w:sz w:val="21"/>
        </w:rPr>
        <w:t>。</w:t>
      </w:r>
    </w:p>
    <w:p>
      <w:pPr>
        <w:ind w:firstLine="480"/>
        <w:jc w:val="both"/>
      </w:pPr>
      <w:r>
        <w:rPr>
          <w:color w:val="0A82E5"/>
          <w:sz w:val="21"/>
        </w:rPr>
        <w:t>8</w:t>
      </w:r>
      <w:r>
        <w:rPr>
          <w:color w:val="0A82E5"/>
          <w:sz w:val="21"/>
        </w:rPr>
        <w:t>、若所投产品属于《中华人民共和国实施强制性产品认证的产品目录》，须在投标文件中提供有效期内的《中国国家强制性产品认证证书》复印件。</w:t>
      </w:r>
    </w:p>
    <w:p>
      <w:pPr>
        <w:ind w:firstLine="480"/>
        <w:jc w:val="both"/>
      </w:pPr>
      <w:r>
        <w:rPr>
          <w:color w:val="0A82E5"/>
          <w:sz w:val="21"/>
        </w:rPr>
        <w:t>9</w:t>
      </w:r>
      <w:r>
        <w:rPr>
          <w:color w:val="0A82E5"/>
          <w:sz w:val="21"/>
        </w:rPr>
        <w:t>、若所投产品属于《节能产品政府采购品目清单》范围中政府强制采购产品类别的，须在投标文件中提供《节能产品政府采购品目清单》范围中政府强制采购产品类别的相关内容页并对相关内容作圈记、市场监管总局公布的《参与实施政府采购节能产品认证机构名录》截图及有效期内的《节能产品认证证书》复印件。</w:t>
      </w:r>
    </w:p>
    <w:p>
      <w:pPr>
        <w:ind w:firstLine="480"/>
        <w:jc w:val="both"/>
      </w:pPr>
      <w:r>
        <w:rPr>
          <w:color w:val="0A82E5"/>
          <w:sz w:val="21"/>
        </w:rPr>
        <w:t>10</w:t>
      </w:r>
      <w:r>
        <w:rPr>
          <w:color w:val="0A82E5"/>
          <w:sz w:val="21"/>
        </w:rPr>
        <w:t>、若所投产品属于《环境标志产品政府采购品目清单》范围中政府强制采购产品类别的，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w:t>
      </w:r>
    </w:p>
    <w:p>
      <w:pPr>
        <w:ind w:firstLine="480"/>
        <w:jc w:val="both"/>
      </w:pPr>
      <w:r>
        <w:rPr>
          <w:color w:val="0A82E5"/>
          <w:sz w:val="21"/>
        </w:rPr>
        <w:t>11</w:t>
      </w:r>
      <w:r>
        <w:rPr>
          <w:color w:val="0A82E5"/>
          <w:sz w:val="21"/>
        </w:rPr>
        <w:t>、项目采购清单：</w:t>
      </w:r>
    </w:p>
    <w:tbl>
      <w:tblPr>
        <w:tblW w:w="0" w:type="auto"/>
        <w:tblInd w:type="dxa" w:w="135"/>
        <w:tblBorders>
          <w:top w:val="none" w:color="000000" w:sz="4"/>
          <w:left w:val="none" w:color="000000" w:sz="4"/>
          <w:bottom w:val="none" w:color="000000" w:sz="4"/>
          <w:right w:val="none" w:color="000000" w:sz="4"/>
          <w:insideH w:val="none"/>
          <w:insideV w:val="none"/>
        </w:tblBorders>
        <w:shd w:fill="FFFFFF"/>
      </w:tblPr>
      <w:tblGrid>
        <w:gridCol w:w="840"/>
        <w:gridCol w:w="1140"/>
        <w:gridCol w:w="1110"/>
        <w:gridCol w:w="855"/>
        <w:gridCol w:w="1155"/>
        <w:gridCol w:w="1155"/>
        <w:gridCol w:w="975"/>
        <w:gridCol w:w="1155"/>
        <w:gridCol w:w="1155"/>
      </w:tblGrid>
      <w:tr>
        <w:tc>
          <w:tcPr>
            <w:tcW w:type="dxa" w:w="840"/>
            <w:tcBorders>
              <w:top w:val="single" w:color="000000" w:sz="4"/>
              <w:left w:val="single" w:color="000000" w:sz="4"/>
              <w:bottom w:val="single" w:color="000000" w:sz="4"/>
              <w:right w:val="single" w:color="000000" w:sz="4"/>
            </w:tcBorders>
            <w:shd w:fill="FFFFFF"/>
          </w:tcPr>
          <w:p>
            <w:pPr>
              <w:ind w:firstLine="105"/>
              <w:jc w:val="center"/>
            </w:pPr>
            <w:r>
              <w:rPr>
                <w:b/>
                <w:sz w:val="21"/>
              </w:rPr>
              <w:t>序号</w:t>
            </w:r>
          </w:p>
        </w:tc>
        <w:tc>
          <w:tcPr>
            <w:tcW w:type="dxa" w:w="1140"/>
            <w:tcBorders>
              <w:top w:val="single" w:color="000000" w:sz="4"/>
              <w:left w:val="none" w:color="000000" w:sz="4"/>
              <w:bottom w:val="single" w:color="000000" w:sz="4"/>
              <w:right w:val="single" w:color="000000" w:sz="4"/>
            </w:tcBorders>
            <w:shd w:fill="FFFFFF"/>
          </w:tcPr>
          <w:p>
            <w:pPr>
              <w:jc w:val="center"/>
            </w:pPr>
            <w:r>
              <w:rPr>
                <w:b/>
                <w:sz w:val="21"/>
              </w:rPr>
              <w:t>设备名称</w:t>
            </w:r>
          </w:p>
        </w:tc>
        <w:tc>
          <w:tcPr>
            <w:tcW w:type="dxa" w:w="1110"/>
            <w:tcBorders>
              <w:top w:val="single" w:color="000000" w:sz="4"/>
              <w:left w:val="none" w:color="000000" w:sz="4"/>
              <w:bottom w:val="single" w:color="000000" w:sz="4"/>
              <w:right w:val="single" w:color="000000" w:sz="4"/>
            </w:tcBorders>
            <w:shd w:fill="FFFFFF"/>
          </w:tcPr>
          <w:p>
            <w:pPr>
              <w:ind w:firstLine="105"/>
              <w:jc w:val="center"/>
            </w:pPr>
            <w:r>
              <w:rPr>
                <w:b/>
                <w:sz w:val="21"/>
              </w:rPr>
              <w:t>数量</w:t>
            </w:r>
          </w:p>
        </w:tc>
        <w:tc>
          <w:tcPr>
            <w:tcW w:type="dxa" w:w="855"/>
            <w:tcBorders>
              <w:top w:val="single" w:color="000000" w:sz="4"/>
              <w:left w:val="none" w:color="000000" w:sz="4"/>
              <w:bottom w:val="single" w:color="000000" w:sz="4"/>
              <w:right w:val="single" w:color="000000" w:sz="4"/>
            </w:tcBorders>
            <w:shd w:fill="FFFFFF"/>
          </w:tcPr>
          <w:p>
            <w:pPr>
              <w:jc w:val="center"/>
            </w:pPr>
            <w:r>
              <w:rPr>
                <w:b/>
                <w:sz w:val="21"/>
              </w:rPr>
              <w:t>计量</w:t>
            </w:r>
          </w:p>
          <w:p>
            <w:pPr>
              <w:jc w:val="center"/>
            </w:pPr>
            <w:r>
              <w:rPr>
                <w:b/>
                <w:sz w:val="21"/>
              </w:rPr>
              <w:t>单位</w:t>
            </w:r>
          </w:p>
        </w:tc>
        <w:tc>
          <w:tcPr>
            <w:tcW w:type="dxa" w:w="1155"/>
            <w:tcBorders>
              <w:top w:val="single" w:color="000000" w:sz="4"/>
              <w:left w:val="none" w:color="000000" w:sz="4"/>
              <w:bottom w:val="single" w:color="000000" w:sz="4"/>
              <w:right w:val="single" w:color="000000" w:sz="4"/>
            </w:tcBorders>
            <w:shd w:fill="FFFFFF"/>
          </w:tcPr>
          <w:p>
            <w:pPr>
              <w:jc w:val="center"/>
            </w:pPr>
            <w:r>
              <w:rPr>
                <w:b/>
                <w:sz w:val="21"/>
              </w:rPr>
              <w:t>单价</w:t>
            </w:r>
          </w:p>
          <w:p>
            <w:pPr>
              <w:jc w:val="center"/>
            </w:pPr>
            <w:r>
              <w:rPr>
                <w:b/>
                <w:sz w:val="21"/>
              </w:rPr>
              <w:t>（万元）</w:t>
            </w:r>
          </w:p>
        </w:tc>
        <w:tc>
          <w:tcPr>
            <w:tcW w:type="dxa" w:w="1155"/>
            <w:tcBorders>
              <w:top w:val="single" w:color="000000" w:sz="4"/>
              <w:left w:val="none" w:color="000000" w:sz="4"/>
              <w:bottom w:val="single" w:color="000000" w:sz="4"/>
              <w:right w:val="single" w:color="000000" w:sz="4"/>
            </w:tcBorders>
            <w:shd w:fill="FFFFFF"/>
          </w:tcPr>
          <w:p>
            <w:pPr>
              <w:jc w:val="center"/>
            </w:pPr>
            <w:r>
              <w:rPr>
                <w:b/>
                <w:sz w:val="21"/>
              </w:rPr>
              <w:t>小计</w:t>
            </w:r>
          </w:p>
          <w:p>
            <w:pPr>
              <w:jc w:val="center"/>
            </w:pPr>
            <w:r>
              <w:rPr>
                <w:b/>
                <w:sz w:val="21"/>
              </w:rPr>
              <w:t>（万元）</w:t>
            </w:r>
          </w:p>
        </w:tc>
        <w:tc>
          <w:tcPr>
            <w:tcW w:type="dxa" w:w="975"/>
            <w:tcBorders>
              <w:top w:val="single" w:color="000000" w:sz="4"/>
              <w:left w:val="none" w:color="000000" w:sz="4"/>
              <w:bottom w:val="single" w:color="000000" w:sz="4"/>
              <w:right w:val="single" w:color="000000" w:sz="4"/>
            </w:tcBorders>
            <w:shd w:fill="FFFFFF"/>
          </w:tcPr>
          <w:p>
            <w:pPr>
              <w:jc w:val="center"/>
            </w:pPr>
            <w:r>
              <w:rPr>
                <w:b/>
                <w:sz w:val="21"/>
              </w:rPr>
              <w:t>保修期（年）</w:t>
            </w:r>
          </w:p>
        </w:tc>
        <w:tc>
          <w:tcPr>
            <w:tcW w:type="dxa" w:w="1155"/>
            <w:tcBorders>
              <w:top w:val="single" w:color="000000" w:sz="4"/>
              <w:left w:val="none" w:color="000000" w:sz="4"/>
              <w:bottom w:val="single" w:color="000000" w:sz="4"/>
              <w:right w:val="single" w:color="000000" w:sz="4"/>
            </w:tcBorders>
            <w:shd w:fill="FFFFFF"/>
          </w:tcPr>
          <w:p>
            <w:pPr>
              <w:jc w:val="center"/>
            </w:pPr>
            <w:r>
              <w:rPr>
                <w:b/>
                <w:sz w:val="21"/>
              </w:rPr>
              <w:t>是否允许进口产品</w:t>
            </w:r>
          </w:p>
        </w:tc>
        <w:tc>
          <w:tcPr>
            <w:tcW w:type="dxa" w:w="1155"/>
            <w:tcBorders>
              <w:top w:val="single" w:color="000000" w:sz="4"/>
              <w:left w:val="none" w:color="000000" w:sz="4"/>
              <w:bottom w:val="single" w:color="000000" w:sz="4"/>
              <w:right w:val="single" w:color="000000" w:sz="4"/>
            </w:tcBorders>
            <w:shd w:fill="FFFFFF"/>
          </w:tcPr>
          <w:p>
            <w:pPr>
              <w:jc w:val="center"/>
            </w:pPr>
            <w:r>
              <w:rPr>
                <w:b/>
                <w:sz w:val="21"/>
              </w:rPr>
              <w:t>含税</w:t>
            </w:r>
            <w:r>
              <w:rPr>
                <w:b/>
                <w:sz w:val="21"/>
              </w:rPr>
              <w:t>/</w:t>
            </w:r>
            <w:r>
              <w:rPr>
                <w:b/>
                <w:sz w:val="21"/>
              </w:rPr>
              <w:t>免税</w:t>
            </w:r>
          </w:p>
        </w:tc>
      </w:tr>
      <w:tr>
        <w:tc>
          <w:tcPr>
            <w:tcW w:type="dxa" w:w="840"/>
            <w:tcBorders>
              <w:top w:val="none" w:color="000000" w:sz="4"/>
              <w:left w:val="single" w:color="000000" w:sz="4"/>
              <w:bottom w:val="single" w:color="000000" w:sz="4"/>
              <w:right w:val="single" w:color="000000" w:sz="4"/>
            </w:tcBorders>
            <w:shd w:fill="FFFFFF"/>
          </w:tcPr>
          <w:p>
            <w:pPr>
              <w:jc w:val="center"/>
            </w:pPr>
            <w:r>
              <w:rPr>
                <w:sz w:val="21"/>
              </w:rPr>
              <w:t>1</w:t>
            </w:r>
          </w:p>
        </w:tc>
        <w:tc>
          <w:tcPr>
            <w:tcW w:type="dxa" w:w="1140"/>
            <w:tcBorders>
              <w:top w:val="none" w:color="000000" w:sz="4"/>
              <w:left w:val="none" w:color="000000" w:sz="4"/>
              <w:bottom w:val="single" w:color="000000" w:sz="4"/>
              <w:right w:val="single" w:color="000000" w:sz="4"/>
            </w:tcBorders>
            <w:shd w:fill="FFFFFF"/>
          </w:tcPr>
          <w:p>
            <w:pPr>
              <w:jc w:val="center"/>
            </w:pPr>
            <w:r>
              <w:rPr>
                <w:sz w:val="21"/>
              </w:rPr>
              <w:t>高端芯片系统级测试分选设备</w:t>
            </w:r>
          </w:p>
        </w:tc>
        <w:tc>
          <w:tcPr>
            <w:tcW w:type="dxa" w:w="1110"/>
            <w:tcBorders>
              <w:top w:val="none" w:color="000000" w:sz="4"/>
              <w:left w:val="none" w:color="000000" w:sz="4"/>
              <w:bottom w:val="single" w:color="000000" w:sz="4"/>
              <w:right w:val="single" w:color="000000" w:sz="4"/>
            </w:tcBorders>
            <w:shd w:fill="FFFFFF"/>
          </w:tcPr>
          <w:p>
            <w:pPr>
              <w:jc w:val="center"/>
            </w:pPr>
            <w:r>
              <w:rPr>
                <w:sz w:val="21"/>
              </w:rPr>
              <w:t>1</w:t>
            </w:r>
          </w:p>
        </w:tc>
        <w:tc>
          <w:tcPr>
            <w:tcW w:type="dxa" w:w="855"/>
            <w:tcBorders>
              <w:top w:val="none" w:color="000000" w:sz="4"/>
              <w:left w:val="none" w:color="000000" w:sz="4"/>
              <w:bottom w:val="single" w:color="000000" w:sz="4"/>
              <w:right w:val="single" w:color="000000" w:sz="4"/>
            </w:tcBorders>
            <w:shd w:fill="FFFFFF"/>
          </w:tcPr>
          <w:p>
            <w:pPr>
              <w:jc w:val="center"/>
            </w:pPr>
            <w:r>
              <w:rPr>
                <w:sz w:val="21"/>
              </w:rPr>
              <w:t>1</w:t>
            </w:r>
          </w:p>
        </w:tc>
        <w:tc>
          <w:tcPr>
            <w:tcW w:type="dxa" w:w="1155"/>
            <w:tcBorders>
              <w:top w:val="none" w:color="000000" w:sz="4"/>
              <w:left w:val="none" w:color="000000" w:sz="4"/>
              <w:bottom w:val="single" w:color="000000" w:sz="4"/>
              <w:right w:val="single" w:color="000000" w:sz="4"/>
            </w:tcBorders>
            <w:shd w:fill="FFFFFF"/>
          </w:tcPr>
          <w:p>
            <w:pPr>
              <w:jc w:val="center"/>
            </w:pPr>
            <w:r>
              <w:rPr>
                <w:sz w:val="21"/>
              </w:rPr>
              <w:t>450</w:t>
            </w:r>
          </w:p>
        </w:tc>
        <w:tc>
          <w:tcPr>
            <w:tcW w:type="dxa" w:w="1155"/>
            <w:tcBorders>
              <w:top w:val="none" w:color="000000" w:sz="4"/>
              <w:left w:val="none" w:color="000000" w:sz="4"/>
              <w:bottom w:val="single" w:color="000000" w:sz="4"/>
              <w:right w:val="single" w:color="000000" w:sz="4"/>
            </w:tcBorders>
            <w:shd w:fill="FFFFFF"/>
          </w:tcPr>
          <w:p>
            <w:pPr>
              <w:jc w:val="center"/>
            </w:pPr>
            <w:r>
              <w:rPr>
                <w:sz w:val="21"/>
              </w:rPr>
              <w:t>450</w:t>
            </w:r>
          </w:p>
        </w:tc>
        <w:tc>
          <w:tcPr>
            <w:tcW w:type="dxa" w:w="975"/>
            <w:tcBorders>
              <w:top w:val="none" w:color="000000" w:sz="4"/>
              <w:left w:val="none" w:color="000000" w:sz="4"/>
              <w:bottom w:val="single" w:color="000000" w:sz="4"/>
              <w:right w:val="single" w:color="000000" w:sz="4"/>
            </w:tcBorders>
            <w:shd w:fill="FFFFFF"/>
          </w:tcPr>
          <w:p>
            <w:pPr>
              <w:jc w:val="center"/>
            </w:pPr>
            <w:r>
              <w:rPr>
                <w:sz w:val="21"/>
              </w:rPr>
              <w:t>5</w:t>
            </w:r>
          </w:p>
        </w:tc>
        <w:tc>
          <w:tcPr>
            <w:tcW w:type="dxa" w:w="1155"/>
            <w:tcBorders>
              <w:top w:val="none" w:color="000000" w:sz="4"/>
              <w:left w:val="none" w:color="000000" w:sz="4"/>
              <w:bottom w:val="single" w:color="000000" w:sz="4"/>
              <w:right w:val="single" w:color="000000" w:sz="4"/>
            </w:tcBorders>
            <w:shd w:fill="FFFFFF"/>
          </w:tcPr>
          <w:p>
            <w:pPr>
              <w:jc w:val="center"/>
            </w:pPr>
            <w:r>
              <w:rPr>
                <w:sz w:val="21"/>
              </w:rPr>
              <w:t>否</w:t>
            </w:r>
          </w:p>
        </w:tc>
        <w:tc>
          <w:tcPr>
            <w:tcW w:type="dxa" w:w="1155"/>
            <w:tcBorders>
              <w:top w:val="none" w:color="000000" w:sz="4"/>
              <w:left w:val="none" w:color="000000" w:sz="4"/>
              <w:bottom w:val="single" w:color="000000" w:sz="4"/>
              <w:right w:val="single" w:color="000000" w:sz="4"/>
            </w:tcBorders>
            <w:shd w:fill="FFFFFF"/>
          </w:tcPr>
          <w:p>
            <w:pPr>
              <w:jc w:val="center"/>
            </w:pPr>
            <w:r>
              <w:rPr>
                <w:color w:val="000000"/>
                <w:sz w:val="21"/>
              </w:rPr>
              <w:t>含税</w:t>
            </w:r>
          </w:p>
        </w:tc>
      </w:tr>
    </w:tbl>
    <w:p>
      <w:r>
        <w:rPr>
          <w:color w:val="0A82E5"/>
          <w:sz w:val="21"/>
        </w:rPr>
        <w:t>12</w:t>
      </w:r>
      <w:r>
        <w:rPr>
          <w:color w:val="0A82E5"/>
          <w:sz w:val="21"/>
        </w:rPr>
        <w:t>、需要落实的政府采购政策：《政府采购促进中小企业发展管理办法》（财库〔</w:t>
      </w:r>
      <w:r>
        <w:rPr>
          <w:color w:val="0A82E5"/>
          <w:sz w:val="21"/>
        </w:rPr>
        <w:t>2020</w:t>
      </w:r>
      <w:r>
        <w:rPr>
          <w:color w:val="0A82E5"/>
          <w:sz w:val="21"/>
        </w:rPr>
        <w:t>〕</w:t>
      </w:r>
      <w:r>
        <w:rPr>
          <w:color w:val="0A82E5"/>
          <w:sz w:val="21"/>
        </w:rPr>
        <w:t>46</w:t>
      </w:r>
      <w:r>
        <w:rPr>
          <w:color w:val="0A82E5"/>
          <w:sz w:val="21"/>
        </w:rPr>
        <w:t>号）、《关于政府采购支持监狱企业发展有关问题的通知》（财库【</w:t>
      </w:r>
      <w:r>
        <w:rPr>
          <w:color w:val="0A82E5"/>
          <w:sz w:val="21"/>
        </w:rPr>
        <w:t>2014</w:t>
      </w:r>
      <w:r>
        <w:rPr>
          <w:color w:val="0A82E5"/>
          <w:sz w:val="21"/>
        </w:rPr>
        <w:t>】</w:t>
      </w:r>
      <w:r>
        <w:rPr>
          <w:color w:val="0A82E5"/>
          <w:sz w:val="21"/>
        </w:rPr>
        <w:t>68</w:t>
      </w:r>
      <w:r>
        <w:rPr>
          <w:color w:val="0A82E5"/>
          <w:sz w:val="21"/>
        </w:rPr>
        <w:t>号）、《关于促进残疾人就业政府采购政策的通知》（财库〔</w:t>
      </w:r>
      <w:r>
        <w:rPr>
          <w:color w:val="0A82E5"/>
          <w:sz w:val="21"/>
        </w:rPr>
        <w:t>2017</w:t>
      </w:r>
      <w:r>
        <w:rPr>
          <w:color w:val="0A82E5"/>
          <w:sz w:val="21"/>
        </w:rPr>
        <w:t>〕</w:t>
      </w:r>
      <w:r>
        <w:rPr>
          <w:color w:val="0A82E5"/>
          <w:sz w:val="21"/>
        </w:rPr>
        <w:t>141</w:t>
      </w:r>
      <w:r>
        <w:rPr>
          <w:color w:val="0A82E5"/>
          <w:sz w:val="21"/>
        </w:rPr>
        <w:t>号）、《关于环境标志产品政府采购实施的意见》（财库</w:t>
      </w:r>
      <w:r>
        <w:rPr>
          <w:color w:val="0A82E5"/>
          <w:sz w:val="21"/>
        </w:rPr>
        <w:t>[2006]90</w:t>
      </w:r>
      <w:r>
        <w:rPr>
          <w:color w:val="0A82E5"/>
          <w:sz w:val="21"/>
        </w:rPr>
        <w:t>号）、《节能产品政府采购实施意见》的通知》（财库［</w:t>
      </w:r>
      <w:r>
        <w:rPr>
          <w:color w:val="0A82E5"/>
          <w:sz w:val="21"/>
        </w:rPr>
        <w:t>2004</w:t>
      </w:r>
      <w:r>
        <w:rPr>
          <w:color w:val="0A82E5"/>
          <w:sz w:val="21"/>
        </w:rPr>
        <w:t>］</w:t>
      </w:r>
      <w:r>
        <w:rPr>
          <w:color w:val="0A82E5"/>
          <w:sz w:val="21"/>
        </w:rPr>
        <w:t>185</w:t>
      </w:r>
      <w:r>
        <w:rPr>
          <w:color w:val="0A82E5"/>
          <w:sz w:val="21"/>
        </w:rPr>
        <w:t>号）、《关于调整优化节能产品、环境</w:t>
      </w:r>
      <w:r>
        <w:rPr>
          <w:color w:val="0A82E5"/>
          <w:sz w:val="21"/>
        </w:rPr>
        <w:t>标志产品政府采购执行机制的通知》（财库〔</w:t>
      </w:r>
      <w:r>
        <w:rPr>
          <w:color w:val="0A82E5"/>
          <w:sz w:val="21"/>
        </w:rPr>
        <w:t>2019</w:t>
      </w:r>
      <w:r>
        <w:rPr>
          <w:color w:val="0A82E5"/>
          <w:sz w:val="21"/>
        </w:rPr>
        <w:t>〕</w:t>
      </w:r>
      <w:r>
        <w:rPr>
          <w:color w:val="0A82E5"/>
          <w:sz w:val="21"/>
        </w:rPr>
        <w:t>9</w:t>
      </w:r>
      <w:r>
        <w:rPr>
          <w:color w:val="0A82E5"/>
          <w:sz w:val="21"/>
        </w:rPr>
        <w:t>号）等。</w:t>
      </w:r>
    </w:p>
    <w:p/>
    <w:p>
      <w:pPr>
        <w:ind w:firstLine="480"/>
      </w:pPr>
    </w:p>
    <w:p/>
    <w:p>
      <w:r>
        <w:rPr/>
        <w:t>合同包1（高端芯片系统级测试分选设备采购）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合同生效90天内乙方完成货物安装调试并交付使用。</w:t>
            </w:r>
          </w:p>
        </w:tc>
      </w:tr>
      <w:tr>
        <w:tc>
          <w:tcPr>
            <w:tcW w:type="dxa" w:w="4153"/>
          </w:tcPr>
          <w:p>
            <w:r>
              <w:rPr/>
              <w:t>标的提供的地点</w:t>
            </w:r>
          </w:p>
        </w:tc>
        <w:tc>
          <w:tcPr>
            <w:tcW w:type="dxa" w:w="4153"/>
          </w:tcPr>
          <w:p/>
          <w:p>
            <w:r>
              <w:rPr/>
              <w:t>广东工业大学大学城校区指定地点。</w:t>
            </w:r>
          </w:p>
        </w:tc>
      </w:tr>
      <w:tr>
        <w:tc>
          <w:tcPr>
            <w:tcW w:type="dxa" w:w="4153"/>
          </w:tcPr>
          <w:p>
            <w:r>
              <w:rPr/>
              <w:t>付款方式</w:t>
            </w:r>
          </w:p>
        </w:tc>
        <w:tc>
          <w:tcPr>
            <w:tcW w:type="dxa" w:w="4153"/>
          </w:tcPr>
          <w:p/>
          <w:p/>
          <w:p>
            <w:r>
              <w:rPr/>
              <w:t>1期：支付比例100%,合同生效后，中标人开出以采购人为受益人的“见索即付”形式的预付款银行保函，保函金额为合同总金额，保函付款条件为银行收到采购人书面索赔通知即须赔付，保函有效期为合同生效后一年；采购人收到银行保函后十个工作日内按相关规定办理支付手续，采购人将合同货款100%支付给中标人。 货物安装调试完毕，经采购人、中标人双方对货物进行验收合格并完成交付后，中标人开具全额增值税专用发票给采购人，采购人将银行保函原件退回给中标人，中标人自行到银行办理相关手续。</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甲方认可的合理最佳配置、参数及各项要求、国家相关标准和行业规范进行验收（该等标准不一致的，以较高为准）。 2.验收流程按甲方规章制度执行，由甲方组成验收小组（含乙方人员）按国家有关规定、规范进行验收，必要时甲方可邀请相关的专业人员或机构参与验收。 3.货物安装调试完毕且正常运行后，乙方应向甲方提出书面验收申请，准备并向甲方提交验收文件，本合同项下的全部货物按甲方验收流程验收通过，经甲乙双方签署验收合格证明后，视为验收合格。 4.验收合格后，乙方应将货物的用户手册、保修手册、有关单证资料及配备件、随机工具等交付给甲方，使用操作及安全须知等重要资料应附有中文说明。前述资料物品交付完毕当日，视为合同货物完成交付。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（一）货物质量要求，1.中标人提供的货物必须符合中华人民共和国国家安全环保标准。软件类产品则应符合国家技术规格和质量标准。 2.中标人提供的货物须为全新的，整机无污染，无侵权行为、无任何缺陷隐患，在中国境内可依常规安全合法使用。软件类产品则应有相应的标准包装，确保产品为原厂正版产品。 3.中标人提供的货物必须是原制造商制造的全新产品（含零部件、配件、随机工具等），表面无划伤、无碰撞，配件齐全，完全符合国家的有关质量标准，并附有产品质量检验合格证书。 4.中标人对其所供货物提供三年的质量保证期。 5.如果发现货物的质量和规格与合同规定不符或货物在质量保证期内被证明有缺陷，包括内在缺陷或使用不当原材料，采购人将有权要求有关部门进行鉴定，并依据鉴定结果向中标人索赔。</w:t>
            </w:r>
          </w:p>
          <w:p/>
          <w:p>
            <w:r>
              <w:rPr/>
              <w:t>（二）到货检验、安装与调试，1.货物的到货验收包括：型号、规格、数量、外观质量及货物包装完整无破损，在货物抵达交货目的地后，采购人和中标人就货物外观质量、规格和型号进行初步检验。货物须为原厂商未启封全新包装，具有出厂合格证，序列号、包装箱号与出厂批号一致，并可追索查阅。所有随货物的附件必须齐全。如果发现到货的外观质量、规格和型号与合同不符，采购人有权拒收货物，并可向中标人索赔。2.除非采购人另有通知，中标人应按照合同的要求以及合同执行计划的时间安排，派出足够的人员进行现场安装和负责调试工作。 3.中标人必须依照招标文件的要求和投标文件的承诺，将货物安装并调试至正常运行的最佳状态。 4.软件类产品中标人还提供软件现场安装，标准安装包括软件计算服务器端的安装、客户端安装和软件license的安装；在服务器上的软件安装需要服务器供应商的工程师配合。</w:t>
            </w:r>
          </w:p>
          <w:p/>
          <w:p>
            <w:r>
              <w:rPr/>
              <w:t>（三）人员培训及售后服务，中标人应为采购人培训使用仪器的工作人员。其培训内容包含仪器设备的基本原理、安装、调试、操作使用和日常保养维修等，具体培训内容和时间安排由双方协商确定；软件类产品在安装完毕后，中标人负责对用户使用部门相关人员的操作技术及维护技术进行必要的现场培训，具体培训内容和时间安排由双方协商确定，保证用户使用部门人员能够独立完成安装软件、软件升级并能运行算例。</w:t>
            </w:r>
          </w:p>
          <w:p/>
          <w:p>
            <w:r>
              <w:rPr/>
              <w:t>（四）售后服务，★1.中标人所供货物的保修期为5年，且需免费提供5年上门保修和系统维护服务，保修期自货物验收合格之日起计算。5年内，如甲方需要搬迁，乙方提供免费上门安装调试工作。 2.保修期内，如货物或零部件因质量原因出现故障而造成短期停用时，则保修期和免费维修期相应顺延。如停用时间累计超过60天则保修期重新计算。 3.保修期内，如货品非因采购人的人为原因而出现的问题由中标人负责包修、包换或包退，并承担修理、调换或退货的实际费用。 4.保修期内，中标人负责对其提供的货物整机进行维修和系统维护，不再收取任何费用，但非中标人责任的人为因素、自然因素（如火灾、雷击等）造成的故障除外。5.货物（含软件类产品）故障报修的响应时间为2小时，且在8小时（连同前面时间计算）到达现场，24 小时内处理完毕。规定时间内未处理完毕的，中标人在48小时内提供不低于同等档次的货物供用户部门使用，至故障货物能正常使用为止。 6.保修期内，同一硬件一个月内连续2次出现同一故障，中标人须无偿更换同一档次的货物。</w:t>
            </w:r>
          </w:p>
          <w:p/>
          <w:p>
            <w:r>
              <w:rPr/>
              <w:t>（五）付款要求，★1、投标人应在投标报价明细表上标明本项目拟提供主要标的的名称、产地、规格型号、数量、单价、服务要求、制造商名称、每个单项的小计、整个投标的总价以及合同项下的货物来源地。</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其他专用仪器仪表</w:t>
            </w:r>
          </w:p>
        </w:tc>
        <w:tc>
          <w:tcPr>
            <w:tcW w:type="dxa" w:w="831"/>
          </w:tcPr>
          <w:p>
            <w:pPr>
              <w:jc w:val="left"/>
            </w:pPr>
            <w:r>
              <w:rPr/>
              <w:t>高端芯片系统级测试分选设备采购</w:t>
            </w:r>
          </w:p>
        </w:tc>
        <w:tc>
          <w:tcPr>
            <w:tcW w:type="dxa" w:w="831"/>
          </w:tcPr>
          <w:p>
            <w:pPr>
              <w:jc w:val="left"/>
            </w:pPr>
            <w:r>
              <w:rPr/>
              <w:t>台</w:t>
            </w:r>
          </w:p>
        </w:tc>
        <w:tc>
          <w:tcPr>
            <w:tcW w:type="dxa" w:w="831"/>
          </w:tcPr>
          <w:p>
            <w:pPr>
              <w:jc w:val="right"/>
            </w:pPr>
            <w:r>
              <w:rPr/>
              <w:t>1.00</w:t>
            </w:r>
          </w:p>
        </w:tc>
        <w:tc>
          <w:tcPr>
            <w:tcW w:type="dxa" w:w="831"/>
          </w:tcPr>
          <w:p>
            <w:pPr>
              <w:jc w:val="right"/>
            </w:pPr>
            <w:r>
              <w:rPr/>
              <w:t>4,500,000.00</w:t>
            </w:r>
          </w:p>
        </w:tc>
        <w:tc>
          <w:tcPr>
            <w:tcW w:type="dxa" w:w="831"/>
          </w:tcPr>
          <w:p>
            <w:pPr>
              <w:jc w:val="right"/>
            </w:pPr>
            <w:r>
              <w:rPr/>
              <w:t>4,500,000.00</w:t>
            </w:r>
          </w:p>
        </w:tc>
        <w:tc>
          <w:tcPr>
            <w:tcW w:type="dxa" w:w="831"/>
          </w:tcPr>
          <w:p>
            <w:r>
              <w:rPr/>
              <w:t>工业</w:t>
            </w:r>
          </w:p>
        </w:tc>
        <w:tc>
          <w:tcPr>
            <w:tcW w:type="dxa" w:w="831"/>
          </w:tcPr>
          <w:p>
            <w:r>
              <w:rPr/>
              <w:t>详见附表一</w:t>
            </w:r>
          </w:p>
        </w:tc>
      </w:tr>
    </w:tbl>
    <w:p/>
    <w:p>
      <w:r>
        <w:rPr>
          <w:b/>
        </w:rPr>
        <w:t>附表</w:t>
      </w:r>
      <w:r>
        <w:rPr>
          <w:b/>
        </w:rPr>
        <w:t>一</w:t>
      </w:r>
      <w:r>
        <w:rPr>
          <w:b/>
        </w:rPr>
        <w:t>：</w:t>
      </w:r>
      <w:r>
        <w:rPr>
          <w:b/>
        </w:rPr>
        <w:t>高端芯片系统级测试分选设备采购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1.1 支持若干测试工位可组合形成虚拟单机，若干虚拟单机可并行运行。</w:t>
            </w:r>
          </w:p>
          <w:p>
            <w:r>
              <w:rPr>
                <w:sz w:val="21"/>
              </w:rPr>
              <w:t>1.2</w:t>
            </w:r>
            <w:r>
              <w:rPr>
                <w:sz w:val="21"/>
              </w:rPr>
              <w:t>配套整机管控系统，具有测试任务管理、虚拟单机管理、作业任务指派、计划调度等功能。</w:t>
            </w:r>
          </w:p>
        </w:tc>
      </w:tr>
      <w:tr>
        <w:tc>
          <w:tcPr>
            <w:tcW w:type="dxa" w:w="2076"/>
          </w:tcPr>
          <w:p>
            <w:r>
              <w:rPr/>
              <w:t>★</w:t>
            </w:r>
          </w:p>
        </w:tc>
        <w:tc>
          <w:tcPr>
            <w:tcW w:type="dxa" w:w="415"/>
          </w:tcPr>
          <w:p>
            <w:r>
              <w:rPr/>
              <w:t>2</w:t>
            </w:r>
          </w:p>
        </w:tc>
        <w:tc>
          <w:tcPr>
            <w:tcW w:type="dxa" w:w="5814"/>
          </w:tcPr>
          <w:p>
            <w:pPr>
              <w:jc w:val="both"/>
            </w:pPr>
            <w:r>
              <w:rPr>
                <w:sz w:val="21"/>
              </w:rPr>
              <w:t>2.1 芯片测试工位数&gt;400个。</w:t>
            </w:r>
          </w:p>
          <w:p>
            <w:pPr>
              <w:jc w:val="both"/>
            </w:pPr>
            <w:r>
              <w:rPr>
                <w:sz w:val="21"/>
              </w:rPr>
              <w:t>2.2 配套单元配置系统，具有虚拟单机设置、工位作业过程三维可视化监控与录像等功能。</w:t>
            </w:r>
          </w:p>
          <w:p>
            <w:r>
              <w:rPr>
                <w:sz w:val="21"/>
              </w:rPr>
              <w:t>2.3</w:t>
            </w:r>
            <w:r>
              <w:rPr>
                <w:sz w:val="21"/>
              </w:rPr>
              <w:t>配套整机数字孪生系统，支持整机与虚拟单机模拟运行、虚拟换产、数字巡检等功能。</w:t>
            </w:r>
          </w:p>
        </w:tc>
      </w:tr>
      <w:tr>
        <w:tc>
          <w:tcPr>
            <w:tcW w:type="dxa" w:w="2076"/>
          </w:tcPr>
          <w:p/>
        </w:tc>
        <w:tc>
          <w:tcPr>
            <w:tcW w:type="dxa" w:w="415"/>
          </w:tcPr>
          <w:p>
            <w:r>
              <w:rPr/>
              <w:t>3</w:t>
            </w:r>
          </w:p>
        </w:tc>
        <w:tc>
          <w:tcPr>
            <w:tcW w:type="dxa" w:w="5814"/>
          </w:tcPr>
          <w:p>
            <w:r>
              <w:rPr>
                <w:color w:val="0A82E5"/>
                <w:sz w:val="21"/>
              </w:rPr>
              <w:t>3.</w:t>
            </w:r>
            <w:r>
              <w:rPr>
                <w:color w:val="0A82E5"/>
                <w:sz w:val="21"/>
              </w:rPr>
              <w:t>芯片批量转移</w:t>
            </w:r>
            <w:r>
              <w:rPr>
                <w:color w:val="0A82E5"/>
                <w:sz w:val="21"/>
              </w:rPr>
              <w:t>&gt;8</w:t>
            </w:r>
            <w:r>
              <w:rPr>
                <w:color w:val="0A82E5"/>
                <w:sz w:val="21"/>
              </w:rPr>
              <w:t>颗</w:t>
            </w:r>
          </w:p>
        </w:tc>
      </w:tr>
      <w:tr>
        <w:tc>
          <w:tcPr>
            <w:tcW w:type="dxa" w:w="2076"/>
          </w:tcPr>
          <w:p/>
        </w:tc>
        <w:tc>
          <w:tcPr>
            <w:tcW w:type="dxa" w:w="415"/>
          </w:tcPr>
          <w:p>
            <w:r>
              <w:rPr/>
              <w:t>4</w:t>
            </w:r>
          </w:p>
        </w:tc>
        <w:tc>
          <w:tcPr>
            <w:tcW w:type="dxa" w:w="5814"/>
          </w:tcPr>
          <w:p>
            <w:r>
              <w:rPr>
                <w:color w:val="0A82E5"/>
                <w:sz w:val="21"/>
              </w:rPr>
              <w:t>4.</w:t>
            </w:r>
            <w:r>
              <w:rPr>
                <w:color w:val="0A82E5"/>
                <w:sz w:val="21"/>
              </w:rPr>
              <w:t>工作效率≥</w:t>
            </w:r>
            <w:r>
              <w:rPr>
                <w:color w:val="0A82E5"/>
                <w:sz w:val="21"/>
              </w:rPr>
              <w:t>5K UPH</w:t>
            </w:r>
            <w:r>
              <w:rPr>
                <w:color w:val="0A82E5"/>
                <w:sz w:val="21"/>
              </w:rPr>
              <w:t>（不含测试时间）</w:t>
            </w:r>
          </w:p>
        </w:tc>
      </w:tr>
      <w:tr>
        <w:tc>
          <w:tcPr>
            <w:tcW w:type="dxa" w:w="2076"/>
          </w:tcPr>
          <w:p/>
        </w:tc>
        <w:tc>
          <w:tcPr>
            <w:tcW w:type="dxa" w:w="415"/>
          </w:tcPr>
          <w:p>
            <w:r>
              <w:rPr/>
              <w:t>5</w:t>
            </w:r>
          </w:p>
        </w:tc>
        <w:tc>
          <w:tcPr>
            <w:tcW w:type="dxa" w:w="5814"/>
          </w:tcPr>
          <w:p>
            <w:r>
              <w:rPr>
                <w:color w:val="0A82E5"/>
                <w:sz w:val="21"/>
              </w:rPr>
              <w:t>5.</w:t>
            </w:r>
            <w:r>
              <w:rPr>
                <w:color w:val="0A82E5"/>
                <w:sz w:val="21"/>
              </w:rPr>
              <w:t>置放准确率：</w:t>
            </w:r>
            <w:r>
              <w:rPr>
                <w:color w:val="0A82E5"/>
                <w:sz w:val="21"/>
              </w:rPr>
              <w:t>99.9%</w:t>
            </w:r>
          </w:p>
        </w:tc>
      </w:tr>
      <w:tr>
        <w:tc>
          <w:tcPr>
            <w:tcW w:type="dxa" w:w="2076"/>
          </w:tcPr>
          <w:p/>
        </w:tc>
        <w:tc>
          <w:tcPr>
            <w:tcW w:type="dxa" w:w="415"/>
          </w:tcPr>
          <w:p>
            <w:r>
              <w:rPr/>
              <w:t>6</w:t>
            </w:r>
          </w:p>
        </w:tc>
        <w:tc>
          <w:tcPr>
            <w:tcW w:type="dxa" w:w="5814"/>
          </w:tcPr>
          <w:p>
            <w:r>
              <w:rPr>
                <w:color w:val="0A82E5"/>
                <w:sz w:val="21"/>
              </w:rPr>
              <w:t>6.</w:t>
            </w:r>
            <w:r>
              <w:rPr>
                <w:color w:val="0A82E5"/>
                <w:sz w:val="21"/>
              </w:rPr>
              <w:t>可测尺寸达</w:t>
            </w:r>
            <w:r>
              <w:rPr>
                <w:color w:val="0A82E5"/>
                <w:sz w:val="21"/>
              </w:rPr>
              <w:t>5mm*5mm</w:t>
            </w:r>
          </w:p>
        </w:tc>
      </w:tr>
      <w:tr>
        <w:tc>
          <w:tcPr>
            <w:tcW w:type="dxa" w:w="2076"/>
          </w:tcPr>
          <w:p/>
        </w:tc>
        <w:tc>
          <w:tcPr>
            <w:tcW w:type="dxa" w:w="415"/>
          </w:tcPr>
          <w:p>
            <w:r>
              <w:rPr/>
              <w:t>7</w:t>
            </w:r>
          </w:p>
        </w:tc>
        <w:tc>
          <w:tcPr>
            <w:tcW w:type="dxa" w:w="5814"/>
          </w:tcPr>
          <w:p>
            <w:r>
              <w:rPr>
                <w:color w:val="0A82E5"/>
                <w:sz w:val="21"/>
              </w:rPr>
              <w:t>7.</w:t>
            </w:r>
            <w:r>
              <w:rPr>
                <w:color w:val="0A82E5"/>
                <w:sz w:val="21"/>
              </w:rPr>
              <w:t>温测范围：</w:t>
            </w:r>
            <w:r>
              <w:rPr>
                <w:color w:val="0A82E5"/>
                <w:sz w:val="21"/>
              </w:rPr>
              <w:t>0~100</w:t>
            </w:r>
            <w:r>
              <w:rPr>
                <w:color w:val="0A82E5"/>
                <w:sz w:val="21"/>
              </w:rPr>
              <w:t>℃</w:t>
            </w:r>
          </w:p>
        </w:tc>
      </w:tr>
      <w:tr>
        <w:tc>
          <w:tcPr>
            <w:tcW w:type="dxa" w:w="2076"/>
          </w:tcPr>
          <w:p/>
        </w:tc>
        <w:tc>
          <w:tcPr>
            <w:tcW w:type="dxa" w:w="415"/>
          </w:tcPr>
          <w:p>
            <w:r>
              <w:rPr/>
              <w:t>8</w:t>
            </w:r>
          </w:p>
        </w:tc>
        <w:tc>
          <w:tcPr>
            <w:tcW w:type="dxa" w:w="5814"/>
          </w:tcPr>
          <w:p>
            <w:r>
              <w:rPr>
                <w:color w:val="0A82E5"/>
                <w:sz w:val="21"/>
              </w:rPr>
              <w:t>8.</w:t>
            </w:r>
            <w:r>
              <w:rPr>
                <w:color w:val="0A82E5"/>
                <w:sz w:val="21"/>
              </w:rPr>
              <w:t>机械臂位置精度±</w:t>
            </w:r>
            <w:r>
              <w:rPr>
                <w:color w:val="0A82E5"/>
                <w:sz w:val="21"/>
              </w:rPr>
              <w:t>0.02mm</w:t>
            </w:r>
            <w:r>
              <w:rPr>
                <w:color w:val="0A82E5"/>
                <w:sz w:val="21"/>
              </w:rPr>
              <w:t>，重复定位精度±</w:t>
            </w:r>
            <w:r>
              <w:rPr>
                <w:color w:val="0A82E5"/>
                <w:sz w:val="21"/>
              </w:rPr>
              <w:t>2</w:t>
            </w:r>
            <w:r>
              <w:rPr>
                <w:color w:val="0A82E5"/>
                <w:sz w:val="21"/>
              </w:rPr>
              <w:t>μ</w:t>
            </w:r>
            <w:r>
              <w:rPr>
                <w:color w:val="0A82E5"/>
                <w:sz w:val="21"/>
              </w:rPr>
              <w:t>m</w:t>
            </w:r>
          </w:p>
        </w:tc>
      </w:tr>
      <w:tr>
        <w:tc>
          <w:tcPr>
            <w:tcW w:type="dxa" w:w="2076"/>
          </w:tcPr>
          <w:p/>
        </w:tc>
        <w:tc>
          <w:tcPr>
            <w:tcW w:type="dxa" w:w="415"/>
          </w:tcPr>
          <w:p>
            <w:r>
              <w:rPr/>
              <w:t>9</w:t>
            </w:r>
          </w:p>
        </w:tc>
        <w:tc>
          <w:tcPr>
            <w:tcW w:type="dxa" w:w="5814"/>
          </w:tcPr>
          <w:p>
            <w:r>
              <w:rPr>
                <w:color w:val="0A82E5"/>
                <w:sz w:val="21"/>
              </w:rPr>
              <w:t>9. AOI</w:t>
            </w:r>
            <w:r>
              <w:rPr>
                <w:color w:val="0A82E5"/>
                <w:sz w:val="21"/>
              </w:rPr>
              <w:t>检测精度±</w:t>
            </w:r>
            <w:r>
              <w:rPr>
                <w:color w:val="0A82E5"/>
                <w:sz w:val="21"/>
              </w:rPr>
              <w:t>10</w:t>
            </w:r>
            <w:r>
              <w:rPr>
                <w:color w:val="0A82E5"/>
                <w:sz w:val="21"/>
              </w:rPr>
              <w:t>μ</w:t>
            </w:r>
            <w:r>
              <w:rPr>
                <w:color w:val="0A82E5"/>
                <w:sz w:val="21"/>
              </w:rPr>
              <w:t>m</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1.采购代理机构：本项目是指广东元正招标采购有限公司，负责整个采购活动的组织，依法负责编制和发布招标文件，对招标文件拥有最终的解释权，不以任何身份出任评标委员会成员。</w:t>
      </w:r>
    </w:p>
    <w:p>
      <w:pPr>
        <w:ind w:firstLine="480"/>
      </w:pPr>
      <w:r>
        <w:rPr/>
        <w:t>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5</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招标向中标人收取中标服务费，中标人在领取《中标通知书》时须向招标代理机构交纳中标服务费，收费标准参照《广东省物价局粤价函〔2013〕1233号》中规定的“货物类”标准计费计算，按中标金额计算。 中标服务费不在投标报价中单列。 中标服务费支付方式：一次性以银行划帐的形式支付。</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广东元正招标采购有限公司</w:t>
      </w:r>
      <w:r>
        <w:rPr/>
        <w:t>代收。具体操作要求详见</w:t>
      </w:r>
      <w:r>
        <w:rPr/>
        <w:t>广东元正招标采购有限公司</w:t>
      </w:r>
      <w:r>
        <w:rPr/>
        <w:t>有关指引，递交事宜请自行咨询</w:t>
      </w:r>
      <w:r>
        <w:rPr/>
        <w:t>广东元正招标采购有限公司</w:t>
      </w:r>
      <w:r>
        <w:rPr/>
        <w:t>；请各投标人在投标文件递交截止时间前按须知前附表规定的金额递交至</w:t>
      </w:r>
      <w:r>
        <w:rPr/>
        <w:t>广东元正招标采购有限公司</w:t>
      </w:r>
      <w:r>
        <w:rPr/>
        <w:t>，到账情况以开标时</w:t>
      </w:r>
      <w:r>
        <w:rPr/>
        <w:t>广东元正招标采购有限公司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广东元正招标采购有限公司</w:t>
      </w:r>
    </w:p>
    <w:p>
      <w:pPr>
        <w:ind w:firstLine="480"/>
      </w:pPr>
      <w:r>
        <w:rPr/>
        <w:t>电话：</w:t>
      </w:r>
      <w:r>
        <w:rPr/>
        <w:t>020-87258495-101</w:t>
      </w:r>
    </w:p>
    <w:p>
      <w:pPr>
        <w:ind w:firstLine="480"/>
      </w:pPr>
      <w:r>
        <w:rPr/>
        <w:t>传真：</w:t>
      </w:r>
      <w:r>
        <w:rPr/>
        <w:t>020-87284598</w:t>
      </w:r>
    </w:p>
    <w:p>
      <w:pPr>
        <w:ind w:firstLine="480"/>
      </w:pPr>
      <w:r>
        <w:rPr/>
        <w:t>邮箱：</w:t>
      </w:r>
      <w:r>
        <w:rPr/>
        <w:t>gdyzgys@163.com</w:t>
      </w:r>
    </w:p>
    <w:p>
      <w:pPr>
        <w:ind w:firstLine="480"/>
      </w:pPr>
      <w:r>
        <w:rPr/>
        <w:t>地址：</w:t>
      </w:r>
      <w:r>
        <w:rPr/>
        <w:t>广州市越秀区先烈中路102号华盛大厦北塔26楼</w:t>
      </w:r>
    </w:p>
    <w:p>
      <w:pPr>
        <w:ind w:firstLine="480"/>
      </w:pPr>
      <w:r>
        <w:rPr/>
        <w:t>邮编：</w:t>
      </w:r>
      <w:r>
        <w:rPr/>
        <w:t>510075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高端芯片系统级测试分选设备采购)：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广东元正招标采购有限公司</w:t>
      </w:r>
      <w:r>
        <w:rPr/>
        <w:t>统一对外发布。</w:t>
      </w:r>
    </w:p>
    <w:p>
      <w:pPr>
        <w:ind w:firstLine="480"/>
      </w:pPr>
      <w:r>
        <w:rPr/>
        <w:t>（2）对</w:t>
      </w:r>
      <w:r>
        <w:rPr/>
        <w:t>广东元正招标采购有限公司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采购包1（高端芯片系统级测试分选设备采购）：</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采购包1（高端芯片系统级测试分选设备采购）：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本项目不接受联合体投标；不允许分包、转包。</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本项目不属于专门面向中小企业项目。 本项目落实促进中小企业发展政策、支持监狱企业发展政策、支持残疾人福利性单位发展政策、支持脱贫攻坚等相关政策。 本项目所属行业为工业。</w:t>
            </w:r>
          </w:p>
        </w:tc>
      </w:tr>
    </w:tbl>
    <w:p/>
    <w:p>
      <w:pPr>
        <w:ind w:firstLine="480"/>
      </w:pPr>
      <w:r>
        <w:rPr/>
        <w:t>表二符合性审查表：</w:t>
      </w:r>
    </w:p>
    <w:p>
      <w:pPr>
        <w:ind w:firstLine="480"/>
      </w:pPr>
    </w:p>
    <w:p/>
    <w:p>
      <w:r>
        <w:rPr/>
        <w:t>采购包1（高端芯片系统级测试分选设备采购）：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w:t>
            </w:r>
          </w:p>
        </w:tc>
      </w:tr>
      <w:tr>
        <w:tc>
          <w:tcPr>
            <w:tcW w:type="dxa" w:w="890"/>
          </w:tcPr>
          <w:p>
            <w:r>
              <w:rPr/>
              <w:t>2</w:t>
            </w:r>
          </w:p>
        </w:tc>
        <w:tc>
          <w:tcPr>
            <w:tcW w:type="dxa" w:w="3178"/>
          </w:tcPr>
          <w:p>
            <w:r>
              <w:rPr/>
              <w:t>投标有效期</w:t>
            </w:r>
          </w:p>
        </w:tc>
        <w:tc>
          <w:tcPr>
            <w:tcW w:type="dxa" w:w="4238"/>
          </w:tcPr>
          <w:p>
            <w:r>
              <w:rPr/>
              <w:t>提交了投标函，投标有效期符合要求。</w:t>
            </w:r>
          </w:p>
        </w:tc>
      </w:tr>
      <w:tr>
        <w:tc>
          <w:tcPr>
            <w:tcW w:type="dxa" w:w="890"/>
          </w:tcPr>
          <w:p>
            <w:r>
              <w:rPr/>
              <w:t>3</w:t>
            </w:r>
          </w:p>
        </w:tc>
        <w:tc>
          <w:tcPr>
            <w:tcW w:type="dxa" w:w="3178"/>
          </w:tcPr>
          <w:p>
            <w:r>
              <w:rPr/>
              <w:t>投标文件签署、盖章</w:t>
            </w:r>
          </w:p>
        </w:tc>
        <w:tc>
          <w:tcPr>
            <w:tcW w:type="dxa" w:w="4238"/>
          </w:tcPr>
          <w:p>
            <w:r>
              <w:rPr/>
              <w:t>投标内容基本完整，无重大错漏（包括报价），并按招标文件要求的式样签署、盖章。</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最高限价）。如果评标委员会认为投标人的报价明显低于其他通过符合性审查投标人的报价，有可能影响项目质量或者不能诚信履约的，将要求其在评标现场合理的时间内提供书面说明，必要时提交相关证明材料；投标人应能作出合理说明。</w:t>
            </w:r>
          </w:p>
        </w:tc>
      </w:tr>
      <w:tr>
        <w:tc>
          <w:tcPr>
            <w:tcW w:type="dxa" w:w="890"/>
          </w:tcPr>
          <w:p>
            <w:r>
              <w:rPr/>
              <w:t>5</w:t>
            </w:r>
          </w:p>
        </w:tc>
        <w:tc>
          <w:tcPr>
            <w:tcW w:type="dxa" w:w="3178"/>
          </w:tcPr>
          <w:p>
            <w:r>
              <w:rPr/>
              <w:t>实质性（即标注★号）条款响应情况</w:t>
            </w:r>
          </w:p>
        </w:tc>
        <w:tc>
          <w:tcPr>
            <w:tcW w:type="dxa" w:w="4238"/>
          </w:tcPr>
          <w:p>
            <w:r>
              <w:rPr/>
              <w:t>投标文件完全满足对招标文件的实质性条款（即标注★号条款）无负偏离的；</w:t>
            </w:r>
          </w:p>
        </w:tc>
      </w:tr>
      <w:tr>
        <w:tc>
          <w:tcPr>
            <w:tcW w:type="dxa" w:w="890"/>
          </w:tcPr>
          <w:p>
            <w:r>
              <w:rPr/>
              <w:t>6</w:t>
            </w:r>
          </w:p>
        </w:tc>
        <w:tc>
          <w:tcPr>
            <w:tcW w:type="dxa" w:w="3178"/>
          </w:tcPr>
          <w:p>
            <w:r>
              <w:rPr/>
              <w:t>无效的情形</w:t>
            </w:r>
          </w:p>
        </w:tc>
        <w:tc>
          <w:tcPr>
            <w:tcW w:type="dxa" w:w="4238"/>
          </w:tcPr>
          <w:p>
            <w:r>
              <w:rPr/>
              <w:t>不属于法律、法规、规章规定无效投标的其他情形。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采购包1高端芯片系统级测试分选设备采购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应标产品性能对采购需求“具体技术(参数)要求”（非带“★”条款）响应程度评价 (30.0分)</w:t>
            </w:r>
          </w:p>
        </w:tc>
        <w:tc>
          <w:tcPr>
            <w:tcW w:type="dxa" w:w="5076"/>
          </w:tcPr>
          <w:p>
            <w:pPr>
              <w:jc w:val="left"/>
            </w:pPr>
            <w:r>
              <w:rPr/>
              <w:t>考查有效投标人应标产品设备技术性能对采购需求“具体技术(参数)要求”的响应程度（本评审项共30分）：  1、产品性能对采购需求各项“具体技术(参数)要求”的响应均为“符合”或“正偏离”的，得得30分  2、对采购需求带“▲”条款“具体技术(参数)要求”中： 1）对“1.1 支持若干测试工位可组合形成虚拟单机，若干虚拟单机可并行运行。”的响应为“不满足”或“负偏离”或未响应的，扣3分； 2）对“1.2 配套整机管控系统，具有测试任务管理、虚拟单机管理、作业任务指派、计划调度等功能。”的响应为“不满足”或“负偏离”或未响应的，扣3分； 3）对“1.3 配套整机数字孪生系统，支持整机与虚拟单机模拟运行、透明监控、虚拟换线、数字巡检等功能。”的响应为“不满足”或“负偏离”或未响应的，扣3分。 本项评审最高扣9分。 3、对“具体技术(参数)要求”中非带“▲”的一般条款的响应为“不满足”或“负偏离”或“未响应”的，扣3分（共7项）；最高扣21分。 备注：投标人需提供产品彩页或产品说明书或货物制造商官方公开的技术文件或货物制造商针对本项目开具的技术参数确认文件原件作为证明材料，如证明材料为外文的，需翻译成中文。不按要求提供不得分。所有技术指标需提供证明材料，并准确标出证明材料所在页码。</w:t>
            </w:r>
          </w:p>
        </w:tc>
      </w:tr>
      <w:tr>
        <w:tc>
          <w:tcPr>
            <w:tcW w:type="dxa" w:w="922"/>
            <w:gridSpan w:val="2"/>
            <w:vMerge/>
          </w:tcPr>
          <w:p/>
        </w:tc>
        <w:tc>
          <w:tcPr>
            <w:tcW w:type="dxa" w:w="2307"/>
          </w:tcPr>
          <w:p>
            <w:pPr>
              <w:jc w:val="left"/>
            </w:pPr>
            <w:r>
              <w:rPr/>
              <w:t>主要产品技术先进及性能稳定性 (8.0分)</w:t>
            </w:r>
            <w:r>
              <w:rPr/>
              <w:t>，（等次分值选择：</w:t>
            </w:r>
            <w:r>
              <w:rPr/>
              <w:t>0.0;</w:t>
            </w:r>
            <w:r>
              <w:rPr/>
              <w:t>4.0;</w:t>
            </w:r>
            <w:r>
              <w:rPr/>
              <w:t>8.0;</w:t>
            </w:r>
            <w:r>
              <w:rPr/>
              <w:t>）</w:t>
            </w:r>
          </w:p>
        </w:tc>
        <w:tc>
          <w:tcPr>
            <w:tcW w:type="dxa" w:w="5076"/>
          </w:tcPr>
          <w:p>
            <w:pPr>
              <w:jc w:val="left"/>
            </w:pPr>
            <w:r>
              <w:rPr/>
              <w:t>考核所有效投标人投标的产品选型的先进、安全性、稳定性。 根据投标人所提供的产品相关认证证书，综合评价优良：所投设备先进，安全可靠，稳定性高，完全适用本项目需求，得 8 分； 综合评价一般：所投设备较为先进，安全稳定性，基本适用本项目需求，得 4 分； 综合评价为差：所投设备较差，安全稳定性差，不完全满足项目需求，得 0 分。</w:t>
            </w:r>
          </w:p>
        </w:tc>
      </w:tr>
      <w:tr>
        <w:tc>
          <w:tcPr>
            <w:tcW w:type="dxa" w:w="922"/>
            <w:gridSpan w:val="2"/>
            <w:vMerge/>
          </w:tcPr>
          <w:p/>
        </w:tc>
        <w:tc>
          <w:tcPr>
            <w:tcW w:type="dxa" w:w="2307"/>
          </w:tcPr>
          <w:p>
            <w:pPr>
              <w:jc w:val="left"/>
            </w:pPr>
            <w:r>
              <w:rPr/>
              <w:t>技术服务方案 (6.0分)</w:t>
            </w:r>
            <w:r>
              <w:rPr/>
              <w:t>，（等次分值选择：</w:t>
            </w:r>
            <w:r>
              <w:rPr/>
              <w:t>0.0;</w:t>
            </w:r>
            <w:r>
              <w:rPr/>
              <w:t>2.0;</w:t>
            </w:r>
            <w:r>
              <w:rPr/>
              <w:t>4.0;</w:t>
            </w:r>
            <w:r>
              <w:rPr/>
              <w:t>6.0;</w:t>
            </w:r>
            <w:r>
              <w:rPr/>
              <w:t>）</w:t>
            </w:r>
          </w:p>
        </w:tc>
        <w:tc>
          <w:tcPr>
            <w:tcW w:type="dxa" w:w="5076"/>
          </w:tcPr>
          <w:p>
            <w:pPr>
              <w:jc w:val="left"/>
            </w:pPr>
            <w:r>
              <w:rPr/>
              <w:t>根据各投标人针对本项目的技术服务方案、技术服务的便利性、响应时间的长短及维护服务方案进行综合评价： （1）技术服务便利、响应快、方案内容完整，规划条理清晰，可操作性强，得6分； （2）技术服务较便利、响应较快、方案内容较完整，规划条理较清晰，有一定可操作性，得4分； （3）技术服务便利性一般、响应较慢、方案内容不完整，规划条理不太清晰，可操作性一般，得2分； （4）技术服务便利性较差、响应较慢、方案内容不完整，规划条理含糊，可操作性差，得0分；</w:t>
            </w:r>
          </w:p>
        </w:tc>
      </w:tr>
      <w:tr>
        <w:tc>
          <w:tcPr>
            <w:tcW w:type="dxa" w:w="922"/>
            <w:gridSpan w:val="2"/>
            <w:vMerge/>
          </w:tcPr>
          <w:p/>
        </w:tc>
        <w:tc>
          <w:tcPr>
            <w:tcW w:type="dxa" w:w="2307"/>
          </w:tcPr>
          <w:p>
            <w:pPr>
              <w:jc w:val="left"/>
            </w:pPr>
            <w:r>
              <w:rPr/>
              <w:t>实施方案 (6.0分)</w:t>
            </w:r>
            <w:r>
              <w:rPr/>
              <w:t>，（等次分值选择：</w:t>
            </w:r>
            <w:r>
              <w:rPr/>
              <w:t>0.0;</w:t>
            </w:r>
            <w:r>
              <w:rPr/>
              <w:t>2.0;</w:t>
            </w:r>
            <w:r>
              <w:rPr/>
              <w:t>4.0;</w:t>
            </w:r>
            <w:r>
              <w:rPr/>
              <w:t>6.0;</w:t>
            </w:r>
            <w:r>
              <w:rPr/>
              <w:t>）</w:t>
            </w:r>
          </w:p>
        </w:tc>
        <w:tc>
          <w:tcPr>
            <w:tcW w:type="dxa" w:w="5076"/>
          </w:tcPr>
          <w:p>
            <w:pPr>
              <w:jc w:val="left"/>
            </w:pPr>
            <w:r>
              <w:rPr/>
              <w:t>根据投标人项目整体实施方案（包含但不限于供货方案、安装调试方案、时间进度计划、质量保证措施、验收方案等）进行综合评审： （1）实施方案完全满足项目要求，科学合理可行的，得6分； （2）实施方案满足项目要求，较科学合理可行的，得4分； （3）实施方案基本满足项目要求，科学合理可行性一般，得2分； （4）实施方案不能完全满足项目要求，科学合理可行性较差的，得0分；</w:t>
            </w:r>
          </w:p>
        </w:tc>
      </w:tr>
      <w:tr>
        <w:tc>
          <w:tcPr>
            <w:tcW w:type="dxa" w:w="922"/>
            <w:gridSpan w:val="2"/>
            <w:vMerge w:val="restart"/>
          </w:tcPr>
          <w:p>
            <w:pPr>
              <w:jc w:val="center"/>
            </w:pPr>
            <w:r>
              <w:rPr/>
              <w:t>商务部分</w:t>
            </w:r>
          </w:p>
        </w:tc>
        <w:tc>
          <w:tcPr>
            <w:tcW w:type="dxa" w:w="2307"/>
          </w:tcPr>
          <w:p>
            <w:pPr>
              <w:jc w:val="left"/>
            </w:pPr>
            <w:r>
              <w:rPr/>
              <w:t>商务响应程度 (2.0分)</w:t>
            </w:r>
            <w:r>
              <w:rPr/>
              <w:t>，（等次分值选择：</w:t>
            </w:r>
            <w:r>
              <w:rPr/>
              <w:t>0.0;</w:t>
            </w:r>
            <w:r>
              <w:rPr/>
              <w:t>1.0;</w:t>
            </w:r>
            <w:r>
              <w:rPr/>
              <w:t>2.0;</w:t>
            </w:r>
            <w:r>
              <w:rPr/>
              <w:t>）</w:t>
            </w:r>
          </w:p>
        </w:tc>
        <w:tc>
          <w:tcPr>
            <w:tcW w:type="dxa" w:w="5076"/>
          </w:tcPr>
          <w:p>
            <w:pPr>
              <w:jc w:val="left"/>
            </w:pPr>
            <w:r>
              <w:rPr/>
              <w:t>根据投标人对商务条款的响应程度进行评审： （1）完全满足招标文件要求，得2分； （2）基本满足招标文件要求，得1分； （3）不满足招标文件要求，得0分。</w:t>
            </w:r>
          </w:p>
        </w:tc>
      </w:tr>
      <w:tr>
        <w:tc>
          <w:tcPr>
            <w:tcW w:type="dxa" w:w="922"/>
            <w:gridSpan w:val="2"/>
            <w:vMerge/>
          </w:tcPr>
          <w:p/>
        </w:tc>
        <w:tc>
          <w:tcPr>
            <w:tcW w:type="dxa" w:w="2307"/>
          </w:tcPr>
          <w:p>
            <w:pPr>
              <w:jc w:val="left"/>
            </w:pPr>
            <w:r>
              <w:rPr/>
              <w:t>投标人企业认证 (6.0分)</w:t>
            </w:r>
          </w:p>
        </w:tc>
        <w:tc>
          <w:tcPr>
            <w:tcW w:type="dxa" w:w="5076"/>
          </w:tcPr>
          <w:p>
            <w:pPr>
              <w:jc w:val="left"/>
            </w:pPr>
            <w:r>
              <w:rPr/>
              <w:t>投标人具备有效的ISO9001质量管理体系认证证书，环境管理体系认证，职业健康安全管理体系认证。每提供一项得2分，最高得6分。 注：须提供相关有效证书复印件并加盖投标人公章。</w:t>
            </w:r>
          </w:p>
        </w:tc>
      </w:tr>
      <w:tr>
        <w:tc>
          <w:tcPr>
            <w:tcW w:type="dxa" w:w="922"/>
            <w:gridSpan w:val="2"/>
            <w:vMerge/>
          </w:tcPr>
          <w:p/>
        </w:tc>
        <w:tc>
          <w:tcPr>
            <w:tcW w:type="dxa" w:w="2307"/>
          </w:tcPr>
          <w:p>
            <w:pPr>
              <w:jc w:val="left"/>
            </w:pPr>
            <w:r>
              <w:rPr/>
              <w:t>投标人的类似项目业绩 (5.0分)</w:t>
            </w:r>
          </w:p>
        </w:tc>
        <w:tc>
          <w:tcPr>
            <w:tcW w:type="dxa" w:w="5076"/>
          </w:tcPr>
          <w:p>
            <w:pPr>
              <w:jc w:val="left"/>
            </w:pPr>
            <w:r>
              <w:rPr/>
              <w:t>根据投标人自2019年1月1日至今同类项目业绩情况进行评审，以合同复印件和验收单、中标通知书为准。 每提供一个得1分，最高得5分；没有提供：0分。（未提供或提供的评委不认可的，不得分）。</w:t>
            </w:r>
          </w:p>
        </w:tc>
      </w:tr>
      <w:tr>
        <w:tc>
          <w:tcPr>
            <w:tcW w:type="dxa" w:w="922"/>
            <w:gridSpan w:val="2"/>
            <w:vMerge/>
          </w:tcPr>
          <w:p/>
        </w:tc>
        <w:tc>
          <w:tcPr>
            <w:tcW w:type="dxa" w:w="2307"/>
          </w:tcPr>
          <w:p>
            <w:pPr>
              <w:jc w:val="left"/>
            </w:pPr>
            <w:r>
              <w:rPr/>
              <w:t>投入本项目的人员情况 (2.0分)</w:t>
            </w:r>
          </w:p>
        </w:tc>
        <w:tc>
          <w:tcPr>
            <w:tcW w:type="dxa" w:w="5076"/>
          </w:tcPr>
          <w:p>
            <w:pPr>
              <w:jc w:val="left"/>
            </w:pPr>
            <w:r>
              <w:rPr/>
              <w:t>投标人拟投入本项目的项目负责人具有中级或以上职称证书的，得2分，满分2分。【注：须提供该人员的职称证书，以及在本公司任职的外部证明材料（加盖政府有关部门印章的打印日期在本项目投标截止日之前三个月以内任意一个月的《社会保险参保人员证明》或单位代缴个人所得税税单）作为证明文件。】</w:t>
            </w:r>
          </w:p>
        </w:tc>
      </w:tr>
      <w:tr>
        <w:tc>
          <w:tcPr>
            <w:tcW w:type="dxa" w:w="922"/>
            <w:gridSpan w:val="2"/>
            <w:vMerge/>
          </w:tcPr>
          <w:p/>
        </w:tc>
        <w:tc>
          <w:tcPr>
            <w:tcW w:type="dxa" w:w="2307"/>
          </w:tcPr>
          <w:p>
            <w:pPr>
              <w:jc w:val="left"/>
            </w:pPr>
            <w:r>
              <w:rPr/>
              <w:t>售后服务方案 (5.0分)</w:t>
            </w:r>
            <w:r>
              <w:rPr/>
              <w:t>，（等次分值选择：</w:t>
            </w:r>
            <w:r>
              <w:rPr/>
              <w:t>0.0;</w:t>
            </w:r>
            <w:r>
              <w:rPr/>
              <w:t>1.0;</w:t>
            </w:r>
            <w:r>
              <w:rPr/>
              <w:t>2.0;</w:t>
            </w:r>
            <w:r>
              <w:rPr/>
              <w:t>5.0;</w:t>
            </w:r>
            <w:r>
              <w:rPr/>
              <w:t>）</w:t>
            </w:r>
          </w:p>
        </w:tc>
        <w:tc>
          <w:tcPr>
            <w:tcW w:type="dxa" w:w="5076"/>
          </w:tcPr>
          <w:p>
            <w:pPr>
              <w:jc w:val="left"/>
            </w:pPr>
            <w:r>
              <w:rPr/>
              <w:t>售后服务方案，具体、针对性较强、操作性较强，得5分； 售后服务方案一般、针对性一般、可操作性一般，得2分。 售后服务方案差、针对性差、可操作性差，得1分。 无或不提交得0分。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
      <w:pPr>
        <w:ind w:firstLine="480"/>
        <w:jc w:val="center"/>
      </w:pPr>
      <w:r>
        <w:rPr>
          <w:b/>
          <w:sz w:val="24"/>
        </w:rPr>
        <w:t xml:space="preserve"> </w:t>
      </w:r>
    </w:p>
    <w:p>
      <w:pPr>
        <w:ind w:firstLine="480"/>
        <w:jc w:val="center"/>
      </w:pPr>
      <w:r>
        <w:rPr>
          <w:b/>
          <w:sz w:val="24"/>
        </w:rPr>
        <w:t xml:space="preserve"> </w:t>
      </w:r>
    </w:p>
    <w:p>
      <w:pPr>
        <w:ind w:firstLine="480"/>
        <w:jc w:val="center"/>
      </w:pPr>
      <w:r>
        <w:rPr>
          <w:b/>
          <w:sz w:val="24"/>
        </w:rPr>
        <w:t xml:space="preserve"> </w:t>
      </w:r>
    </w:p>
    <w:p>
      <w:pPr>
        <w:ind w:firstLine="480"/>
        <w:jc w:val="center"/>
      </w:pPr>
      <w:r>
        <w:rPr>
          <w:b/>
          <w:color w:val="0A82E5"/>
          <w:sz w:val="30"/>
        </w:rPr>
        <w:t>广东省政府采购</w:t>
      </w:r>
    </w:p>
    <w:p>
      <w:pPr>
        <w:jc w:val="center"/>
      </w:pPr>
      <w:r>
        <w:rPr>
          <w:b/>
          <w:sz w:val="44"/>
        </w:rPr>
        <w:t>政府采购合同</w:t>
      </w:r>
    </w:p>
    <w:p>
      <w:pPr>
        <w:jc w:val="left"/>
      </w:pPr>
      <w:r>
        <w:rPr>
          <w:sz w:val="24"/>
        </w:rPr>
        <w:t>甲方（业主）：广东工业大学</w:t>
      </w:r>
    </w:p>
    <w:p>
      <w:pPr>
        <w:ind w:firstLine="412"/>
        <w:jc w:val="left"/>
      </w:pPr>
      <w:r>
        <w:rPr>
          <w:sz w:val="24"/>
        </w:rPr>
        <w:t>乙方（中标人）：</w:t>
      </w:r>
      <w:r>
        <w:rPr>
          <w:sz w:val="24"/>
          <w:u w:val="single"/>
        </w:rPr>
        <w:t>广州****有限公司</w:t>
      </w:r>
    </w:p>
    <w:p>
      <w:pPr>
        <w:ind w:firstLine="412"/>
        <w:jc w:val="left"/>
      </w:pPr>
      <w:r>
        <w:rPr>
          <w:sz w:val="24"/>
        </w:rPr>
        <w:t>签订地点：广州</w:t>
      </w:r>
    </w:p>
    <w:p>
      <w:pPr>
        <w:ind w:firstLine="420"/>
        <w:jc w:val="both"/>
      </w:pPr>
      <w:r>
        <w:rPr>
          <w:sz w:val="21"/>
          <w:u w:val="single"/>
        </w:rPr>
        <w:t>根据广东省***公司****采购项目</w:t>
      </w:r>
      <w:r>
        <w:rPr>
          <w:sz w:val="21"/>
        </w:rPr>
        <w:t>招标文件[编号</w:t>
      </w:r>
      <w:r>
        <w:rPr>
          <w:b/>
          <w:sz w:val="21"/>
          <w:u w:val="single"/>
        </w:rPr>
        <w:t>GPCGD121156HG0****F</w:t>
      </w:r>
      <w:r>
        <w:rPr>
          <w:sz w:val="21"/>
        </w:rPr>
        <w:t>]（</w:t>
      </w:r>
      <w:r>
        <w:rPr>
          <w:b/>
          <w:sz w:val="21"/>
          <w:u w:val="single"/>
        </w:rPr>
        <w:t>子包？</w:t>
      </w:r>
      <w:r>
        <w:rPr>
          <w:sz w:val="21"/>
          <w:u w:val="single"/>
        </w:rPr>
        <w:t>）</w:t>
      </w:r>
      <w:r>
        <w:rPr>
          <w:sz w:val="21"/>
        </w:rPr>
        <w:t>、乙方针对该项目的投标文件及</w:t>
      </w:r>
      <w:r>
        <w:rPr>
          <w:sz w:val="21"/>
          <w:u w:val="single"/>
        </w:rPr>
        <w:t>20  年  月   日广东省***招标公司</w:t>
      </w:r>
      <w:r>
        <w:rPr>
          <w:sz w:val="21"/>
        </w:rPr>
        <w:t>的中/招标结果通知，按照《中华人民共和国政府采购法》和《中华人民共和国民法典》的规定，经双方协商，本着平等互利和诚实信用的原则，一致同意签订本合同。</w:t>
      </w:r>
    </w:p>
    <w:p>
      <w:pPr>
        <w:jc w:val="both"/>
      </w:pPr>
      <w:r>
        <w:rPr>
          <w:b/>
          <w:sz w:val="28"/>
        </w:rPr>
        <w:t xml:space="preserve">一、货物及价格(详细配置清单及技术指标见附件)  </w:t>
      </w:r>
    </w:p>
    <w:tbl>
      <w:tblPr>
        <w:tblW w:w="0" w:type="auto"/>
        <w:tblBorders>
          <w:top w:val="none" w:color="000000" w:sz="4"/>
          <w:left w:val="none" w:color="000000" w:sz="4"/>
          <w:bottom w:val="none" w:color="000000" w:sz="4"/>
          <w:right w:val="none" w:color="000000" w:sz="4"/>
          <w:insideH w:val="none"/>
          <w:insideV w:val="none"/>
        </w:tblBorders>
      </w:tblPr>
      <w:tblGrid>
        <w:gridCol w:w="870"/>
        <w:gridCol w:w="1560"/>
        <w:gridCol w:w="1770"/>
        <w:gridCol w:w="1620"/>
        <w:gridCol w:w="720"/>
        <w:gridCol w:w="720"/>
        <w:gridCol w:w="1455"/>
        <w:gridCol w:w="1365"/>
      </w:tblGrid>
      <w:tr>
        <w:tc>
          <w:tcPr>
            <w:tcW w:type="dxa" w:w="870"/>
            <w:tcBorders>
              <w:top w:val="double" w:color="000000" w:sz="8"/>
              <w:left w:val="double" w:color="000000" w:sz="8"/>
              <w:bottom w:val="single" w:color="000000" w:sz="4"/>
              <w:right w:val="single" w:color="000000" w:sz="4"/>
            </w:tcBorders>
          </w:tcPr>
          <w:p>
            <w:pPr>
              <w:jc w:val="center"/>
            </w:pPr>
            <w:r>
              <w:rPr>
                <w:b/>
                <w:sz w:val="21"/>
              </w:rPr>
              <w:t>序号</w:t>
            </w:r>
          </w:p>
        </w:tc>
        <w:tc>
          <w:tcPr>
            <w:tcW w:type="dxa" w:w="1560"/>
            <w:tcBorders>
              <w:top w:val="double" w:color="000000" w:sz="8"/>
              <w:left w:val="none" w:color="000000" w:sz="4"/>
              <w:bottom w:val="single" w:color="000000" w:sz="4"/>
              <w:right w:val="single" w:color="000000" w:sz="4"/>
            </w:tcBorders>
          </w:tcPr>
          <w:p>
            <w:pPr>
              <w:jc w:val="center"/>
            </w:pPr>
            <w:r>
              <w:rPr>
                <w:b/>
                <w:sz w:val="21"/>
              </w:rPr>
              <w:t>货物名称</w:t>
            </w:r>
          </w:p>
        </w:tc>
        <w:tc>
          <w:tcPr>
            <w:tcW w:type="dxa" w:w="1770"/>
            <w:tcBorders>
              <w:top w:val="double" w:color="000000" w:sz="8"/>
              <w:left w:val="none" w:color="000000" w:sz="4"/>
              <w:bottom w:val="single" w:color="000000" w:sz="4"/>
              <w:right w:val="single" w:color="000000" w:sz="4"/>
            </w:tcBorders>
          </w:tcPr>
          <w:p>
            <w:pPr>
              <w:jc w:val="center"/>
            </w:pPr>
            <w:r>
              <w:rPr>
                <w:b/>
                <w:sz w:val="21"/>
              </w:rPr>
              <w:t>型号/规格</w:t>
            </w:r>
          </w:p>
        </w:tc>
        <w:tc>
          <w:tcPr>
            <w:tcW w:type="dxa" w:w="1620"/>
            <w:tcBorders>
              <w:top w:val="double" w:color="000000" w:sz="8"/>
              <w:left w:val="none" w:color="000000" w:sz="4"/>
              <w:bottom w:val="single" w:color="000000" w:sz="4"/>
              <w:right w:val="single" w:color="000000" w:sz="4"/>
            </w:tcBorders>
          </w:tcPr>
          <w:p>
            <w:pPr>
              <w:jc w:val="center"/>
            </w:pPr>
            <w:r>
              <w:rPr>
                <w:b/>
                <w:sz w:val="21"/>
              </w:rPr>
              <w:t>制造商/产地</w:t>
            </w:r>
          </w:p>
        </w:tc>
        <w:tc>
          <w:tcPr>
            <w:tcW w:type="dxa" w:w="720"/>
            <w:tcBorders>
              <w:top w:val="double" w:color="000000" w:sz="8"/>
              <w:left w:val="none" w:color="000000" w:sz="4"/>
              <w:bottom w:val="single" w:color="000000" w:sz="4"/>
              <w:right w:val="single" w:color="000000" w:sz="4"/>
            </w:tcBorders>
          </w:tcPr>
          <w:p>
            <w:pPr>
              <w:jc w:val="center"/>
            </w:pPr>
            <w:r>
              <w:rPr>
                <w:b/>
                <w:sz w:val="21"/>
              </w:rPr>
              <w:t>数量</w:t>
            </w:r>
          </w:p>
        </w:tc>
        <w:tc>
          <w:tcPr>
            <w:tcW w:type="dxa" w:w="720"/>
            <w:tcBorders>
              <w:top w:val="double" w:color="000000" w:sz="8"/>
              <w:left w:val="none" w:color="000000" w:sz="4"/>
              <w:bottom w:val="single" w:color="000000" w:sz="4"/>
              <w:right w:val="single" w:color="000000" w:sz="4"/>
            </w:tcBorders>
          </w:tcPr>
          <w:p>
            <w:pPr>
              <w:jc w:val="center"/>
            </w:pPr>
            <w:r>
              <w:rPr>
                <w:b/>
                <w:sz w:val="21"/>
              </w:rPr>
              <w:t>单位</w:t>
            </w:r>
          </w:p>
        </w:tc>
        <w:tc>
          <w:tcPr>
            <w:tcW w:type="dxa" w:w="1455"/>
            <w:tcBorders>
              <w:top w:val="double" w:color="000000" w:sz="8"/>
              <w:left w:val="none" w:color="000000" w:sz="4"/>
              <w:bottom w:val="single" w:color="000000" w:sz="4"/>
              <w:right w:val="single" w:color="000000" w:sz="4"/>
            </w:tcBorders>
          </w:tcPr>
          <w:p>
            <w:pPr>
              <w:jc w:val="center"/>
            </w:pPr>
            <w:r>
              <w:rPr>
                <w:b/>
                <w:sz w:val="21"/>
              </w:rPr>
              <w:t>单价（元）</w:t>
            </w:r>
          </w:p>
        </w:tc>
        <w:tc>
          <w:tcPr>
            <w:tcW w:type="dxa" w:w="1365"/>
            <w:tcBorders>
              <w:top w:val="double" w:color="000000" w:sz="8"/>
              <w:left w:val="none" w:color="000000" w:sz="4"/>
              <w:bottom w:val="single" w:color="000000" w:sz="4"/>
              <w:right w:val="double" w:color="000000" w:sz="8"/>
            </w:tcBorders>
          </w:tcPr>
          <w:p>
            <w:pPr>
              <w:jc w:val="center"/>
            </w:pPr>
            <w:r>
              <w:rPr>
                <w:b/>
                <w:sz w:val="21"/>
              </w:rPr>
              <w:t>总价（元）</w:t>
            </w:r>
          </w:p>
        </w:tc>
      </w:tr>
      <w:tr>
        <w:tc>
          <w:tcPr>
            <w:tcW w:type="dxa" w:w="870"/>
            <w:tcBorders>
              <w:top w:val="none" w:color="000000" w:sz="4"/>
              <w:left w:val="double" w:color="000000" w:sz="8"/>
              <w:bottom w:val="single" w:color="000000" w:sz="4"/>
              <w:right w:val="single" w:color="000000" w:sz="4"/>
            </w:tcBorders>
          </w:tcPr>
          <w:p>
            <w:pPr>
              <w:jc w:val="center"/>
            </w:pPr>
          </w:p>
        </w:tc>
        <w:tc>
          <w:tcPr>
            <w:tcW w:type="dxa" w:w="1560"/>
            <w:tcBorders>
              <w:top w:val="none" w:color="000000" w:sz="4"/>
              <w:left w:val="none" w:color="000000" w:sz="4"/>
              <w:bottom w:val="single" w:color="000000" w:sz="4"/>
              <w:right w:val="single" w:color="000000" w:sz="4"/>
            </w:tcBorders>
          </w:tcPr>
          <w:p>
            <w:pPr>
              <w:jc w:val="center"/>
            </w:pPr>
          </w:p>
        </w:tc>
        <w:tc>
          <w:tcPr>
            <w:tcW w:type="dxa" w:w="1770"/>
            <w:tcBorders>
              <w:top w:val="none" w:color="000000" w:sz="4"/>
              <w:left w:val="none" w:color="000000" w:sz="4"/>
              <w:bottom w:val="single" w:color="000000" w:sz="4"/>
              <w:right w:val="single" w:color="000000" w:sz="4"/>
            </w:tcBorders>
          </w:tcPr>
          <w:p>
            <w:pPr>
              <w:jc w:val="center"/>
            </w:pPr>
          </w:p>
        </w:tc>
        <w:tc>
          <w:tcPr>
            <w:tcW w:type="dxa" w:w="1620"/>
            <w:tcBorders>
              <w:top w:val="none" w:color="000000" w:sz="4"/>
              <w:left w:val="none" w:color="000000" w:sz="4"/>
              <w:bottom w:val="single" w:color="000000" w:sz="4"/>
              <w:right w:val="single" w:color="000000" w:sz="4"/>
            </w:tcBorders>
          </w:tcPr>
          <w:p>
            <w:pPr>
              <w:jc w:val="center"/>
            </w:pPr>
          </w:p>
        </w:tc>
        <w:tc>
          <w:tcPr>
            <w:tcW w:type="dxa" w:w="720"/>
            <w:tcBorders>
              <w:top w:val="none" w:color="000000" w:sz="4"/>
              <w:left w:val="none" w:color="000000" w:sz="4"/>
              <w:bottom w:val="single" w:color="000000" w:sz="4"/>
              <w:right w:val="single" w:color="000000" w:sz="4"/>
            </w:tcBorders>
          </w:tcPr>
          <w:p>
            <w:pPr>
              <w:jc w:val="center"/>
            </w:pPr>
          </w:p>
        </w:tc>
        <w:tc>
          <w:tcPr>
            <w:tcW w:type="dxa" w:w="720"/>
            <w:tcBorders>
              <w:top w:val="none" w:color="000000" w:sz="4"/>
              <w:left w:val="none" w:color="000000" w:sz="4"/>
              <w:bottom w:val="single" w:color="000000" w:sz="4"/>
              <w:right w:val="single" w:color="000000" w:sz="4"/>
            </w:tcBorders>
          </w:tcPr>
          <w:p>
            <w:pPr>
              <w:jc w:val="center"/>
            </w:pPr>
          </w:p>
        </w:tc>
        <w:tc>
          <w:tcPr>
            <w:tcW w:type="dxa" w:w="1455"/>
            <w:tcBorders>
              <w:top w:val="none" w:color="000000" w:sz="4"/>
              <w:left w:val="none" w:color="000000" w:sz="4"/>
              <w:bottom w:val="single" w:color="000000" w:sz="4"/>
              <w:right w:val="single" w:color="000000" w:sz="4"/>
            </w:tcBorders>
          </w:tcPr>
          <w:p>
            <w:pPr>
              <w:jc w:val="center"/>
            </w:pPr>
          </w:p>
        </w:tc>
        <w:tc>
          <w:tcPr>
            <w:tcW w:type="dxa" w:w="1365"/>
            <w:tcBorders>
              <w:top w:val="none" w:color="000000" w:sz="4"/>
              <w:left w:val="none" w:color="000000" w:sz="4"/>
              <w:bottom w:val="single" w:color="000000" w:sz="4"/>
              <w:right w:val="double" w:color="000000" w:sz="8"/>
            </w:tcBorders>
          </w:tcPr>
          <w:p>
            <w:pPr>
              <w:jc w:val="center"/>
            </w:pPr>
          </w:p>
        </w:tc>
      </w:tr>
      <w:tr>
        <w:tc>
          <w:tcPr>
            <w:tcW w:type="dxa" w:w="870"/>
            <w:tcBorders>
              <w:top w:val="none" w:color="000000" w:sz="4"/>
              <w:left w:val="double" w:color="000000" w:sz="8"/>
              <w:bottom w:val="single" w:color="000000" w:sz="4"/>
              <w:right w:val="single" w:color="000000" w:sz="4"/>
            </w:tcBorders>
          </w:tcPr>
          <w:p>
            <w:pPr>
              <w:jc w:val="center"/>
            </w:pPr>
          </w:p>
        </w:tc>
        <w:tc>
          <w:tcPr>
            <w:tcW w:type="dxa" w:w="1560"/>
            <w:tcBorders>
              <w:top w:val="none" w:color="000000" w:sz="4"/>
              <w:left w:val="none" w:color="000000" w:sz="4"/>
              <w:bottom w:val="single" w:color="000000" w:sz="4"/>
              <w:right w:val="single" w:color="000000" w:sz="4"/>
            </w:tcBorders>
          </w:tcPr>
          <w:p>
            <w:pPr>
              <w:jc w:val="center"/>
            </w:pPr>
          </w:p>
        </w:tc>
        <w:tc>
          <w:tcPr>
            <w:tcW w:type="dxa" w:w="1770"/>
            <w:tcBorders>
              <w:top w:val="none" w:color="000000" w:sz="4"/>
              <w:left w:val="none" w:color="000000" w:sz="4"/>
              <w:bottom w:val="single" w:color="000000" w:sz="4"/>
              <w:right w:val="single" w:color="000000" w:sz="4"/>
            </w:tcBorders>
          </w:tcPr>
          <w:p>
            <w:pPr>
              <w:jc w:val="center"/>
            </w:pPr>
          </w:p>
        </w:tc>
        <w:tc>
          <w:tcPr>
            <w:tcW w:type="dxa" w:w="1620"/>
            <w:tcBorders>
              <w:top w:val="none" w:color="000000" w:sz="4"/>
              <w:left w:val="none" w:color="000000" w:sz="4"/>
              <w:bottom w:val="single" w:color="000000" w:sz="4"/>
              <w:right w:val="single" w:color="000000" w:sz="4"/>
            </w:tcBorders>
          </w:tcPr>
          <w:p>
            <w:pPr>
              <w:jc w:val="center"/>
            </w:pPr>
          </w:p>
        </w:tc>
        <w:tc>
          <w:tcPr>
            <w:tcW w:type="dxa" w:w="720"/>
            <w:tcBorders>
              <w:top w:val="none" w:color="000000" w:sz="4"/>
              <w:left w:val="none" w:color="000000" w:sz="4"/>
              <w:bottom w:val="single" w:color="000000" w:sz="4"/>
              <w:right w:val="single" w:color="000000" w:sz="4"/>
            </w:tcBorders>
          </w:tcPr>
          <w:p>
            <w:pPr>
              <w:jc w:val="center"/>
            </w:pPr>
          </w:p>
        </w:tc>
        <w:tc>
          <w:tcPr>
            <w:tcW w:type="dxa" w:w="720"/>
            <w:tcBorders>
              <w:top w:val="none" w:color="000000" w:sz="4"/>
              <w:left w:val="none" w:color="000000" w:sz="4"/>
              <w:bottom w:val="single" w:color="000000" w:sz="4"/>
              <w:right w:val="single" w:color="000000" w:sz="4"/>
            </w:tcBorders>
          </w:tcPr>
          <w:p>
            <w:pPr>
              <w:jc w:val="center"/>
            </w:pPr>
          </w:p>
        </w:tc>
        <w:tc>
          <w:tcPr>
            <w:tcW w:type="dxa" w:w="1455"/>
            <w:tcBorders>
              <w:top w:val="none" w:color="000000" w:sz="4"/>
              <w:left w:val="none" w:color="000000" w:sz="4"/>
              <w:bottom w:val="single" w:color="000000" w:sz="4"/>
              <w:right w:val="single" w:color="000000" w:sz="4"/>
            </w:tcBorders>
          </w:tcPr>
          <w:p>
            <w:pPr>
              <w:jc w:val="center"/>
            </w:pPr>
          </w:p>
        </w:tc>
        <w:tc>
          <w:tcPr>
            <w:tcW w:type="dxa" w:w="1365"/>
            <w:tcBorders>
              <w:top w:val="none" w:color="000000" w:sz="4"/>
              <w:left w:val="none" w:color="000000" w:sz="4"/>
              <w:bottom w:val="single" w:color="000000" w:sz="4"/>
              <w:right w:val="double" w:color="000000" w:sz="8"/>
            </w:tcBorders>
          </w:tcPr>
          <w:p>
            <w:pPr>
              <w:jc w:val="center"/>
            </w:pPr>
          </w:p>
        </w:tc>
      </w:tr>
      <w:tr>
        <w:tc>
          <w:tcPr>
            <w:tcW w:type="dxa" w:w="10080"/>
            <w:gridSpan w:val="8"/>
            <w:tcBorders>
              <w:top w:val="none" w:color="000000" w:sz="4"/>
              <w:left w:val="double" w:color="000000" w:sz="8"/>
              <w:bottom w:val="double" w:color="000000" w:sz="8"/>
              <w:right w:val="double" w:color="000000" w:sz="8"/>
            </w:tcBorders>
          </w:tcPr>
          <w:p>
            <w:pPr>
              <w:jc w:val="both"/>
            </w:pPr>
            <w:r>
              <w:rPr>
                <w:b/>
                <w:sz w:val="21"/>
              </w:rPr>
              <w:t>总金额（人民币）： *仟*佰*拾*万*仟*佰*拾*元整（¥ *******.**）</w:t>
            </w:r>
          </w:p>
        </w:tc>
      </w:tr>
    </w:tbl>
    <w:p>
      <w:pPr>
        <w:jc w:val="both"/>
      </w:pPr>
      <w:r>
        <w:rPr>
          <w:sz w:val="21"/>
        </w:rPr>
        <w:t>注：</w:t>
      </w:r>
      <w:r>
        <w:rPr>
          <w:sz w:val="21"/>
        </w:rPr>
        <w:t>合同总额包括乙方设计、安装、随机零配件、标配工具、运输保险、调试、培训、保修期服务、各项税费及合同实施过程中不可预见费用等，详细配置清单及技术指标见附件。</w:t>
      </w:r>
    </w:p>
    <w:p>
      <w:pPr>
        <w:jc w:val="both"/>
      </w:pPr>
      <w:r>
        <w:rPr>
          <w:b/>
          <w:sz w:val="28"/>
        </w:rPr>
        <w:t>二、货物质量要求</w:t>
      </w:r>
    </w:p>
    <w:p>
      <w:pPr>
        <w:ind w:firstLine="420"/>
        <w:jc w:val="both"/>
      </w:pPr>
      <w:r>
        <w:rPr>
          <w:sz w:val="21"/>
        </w:rPr>
        <w:t>1.</w:t>
      </w:r>
      <w:r>
        <w:rPr>
          <w:sz w:val="21"/>
        </w:rPr>
        <w:t>乙方提供的货物必须符合中华人民共和国国家安全环保标准。</w:t>
      </w:r>
      <w:r>
        <w:rPr>
          <w:sz w:val="21"/>
        </w:rPr>
        <w:t>软件类产品则应符合国家技术规格和质量标准。</w:t>
      </w:r>
    </w:p>
    <w:p>
      <w:pPr>
        <w:ind w:firstLine="420"/>
        <w:jc w:val="both"/>
      </w:pPr>
      <w:r>
        <w:rPr>
          <w:sz w:val="21"/>
        </w:rPr>
        <w:t>2.</w:t>
      </w:r>
      <w:r>
        <w:rPr>
          <w:sz w:val="21"/>
        </w:rPr>
        <w:t>乙方提供的货物为全新的，整机无污染，无侵权行为、无任何缺陷隐患，在中国境内可依常规安全合法使用。</w:t>
      </w:r>
      <w:r>
        <w:rPr>
          <w:sz w:val="21"/>
        </w:rPr>
        <w:t>软件类产品则应有相应的标准包装，确保产品为原厂正版产品。</w:t>
      </w:r>
    </w:p>
    <w:p>
      <w:pPr>
        <w:ind w:firstLine="420"/>
        <w:jc w:val="both"/>
      </w:pPr>
      <w:r>
        <w:rPr>
          <w:sz w:val="21"/>
        </w:rPr>
        <w:t>3.</w:t>
      </w:r>
      <w:r>
        <w:rPr>
          <w:sz w:val="21"/>
        </w:rPr>
        <w:t>乙方提供的货物必须是原制造商制造的全新产品（含零部件、配件、随机工具等），表面无划伤、无碰撞，配件齐全，完全符合国家的有关质量标准，并附有产品质量检验合格证书。</w:t>
      </w:r>
    </w:p>
    <w:p>
      <w:pPr>
        <w:ind w:firstLine="420"/>
        <w:jc w:val="both"/>
      </w:pPr>
      <w:r>
        <w:rPr>
          <w:sz w:val="21"/>
        </w:rPr>
        <w:t>4.</w:t>
      </w:r>
      <w:r>
        <w:rPr>
          <w:sz w:val="21"/>
        </w:rPr>
        <w:t>乙方对提供的货物提供三年的质量保证期。</w:t>
      </w:r>
    </w:p>
    <w:p>
      <w:pPr>
        <w:ind w:firstLine="420"/>
        <w:jc w:val="both"/>
      </w:pPr>
      <w:r>
        <w:rPr>
          <w:sz w:val="21"/>
        </w:rPr>
        <w:t>5.</w:t>
      </w:r>
      <w:r>
        <w:rPr>
          <w:sz w:val="21"/>
        </w:rPr>
        <w:t>如果发现货物的质量和规格与合同规定不符或货物在质量保证期内被证明有缺陷，包括内在缺陷或使用不适当原材料，甲方将有权要求有关部门进行鉴定，并依据鉴定结果向乙方索赔。</w:t>
      </w:r>
    </w:p>
    <w:p>
      <w:pPr>
        <w:jc w:val="both"/>
      </w:pPr>
      <w:r>
        <w:rPr>
          <w:b/>
          <w:sz w:val="28"/>
        </w:rPr>
        <w:t>三、交货期及交货地点</w:t>
      </w:r>
    </w:p>
    <w:p>
      <w:pPr>
        <w:ind w:firstLine="420"/>
        <w:jc w:val="both"/>
      </w:pPr>
      <w:r>
        <w:rPr>
          <w:sz w:val="21"/>
        </w:rPr>
        <w:t>1.</w:t>
      </w:r>
      <w:r>
        <w:rPr>
          <w:sz w:val="21"/>
        </w:rPr>
        <w:t>交货地点：广东工业大学大学城校区（用户指定地点）。</w:t>
      </w:r>
    </w:p>
    <w:p>
      <w:pPr>
        <w:ind w:firstLine="420"/>
        <w:jc w:val="both"/>
      </w:pPr>
      <w:r>
        <w:rPr>
          <w:sz w:val="21"/>
        </w:rPr>
        <w:t>2.</w:t>
      </w:r>
      <w:r>
        <w:rPr>
          <w:sz w:val="21"/>
        </w:rPr>
        <w:t>交 货 期：合同生效  ** 天内安装调试完毕并交付使用。</w:t>
      </w:r>
    </w:p>
    <w:p>
      <w:pPr>
        <w:jc w:val="both"/>
      </w:pPr>
      <w:r>
        <w:rPr>
          <w:b/>
          <w:sz w:val="28"/>
        </w:rPr>
        <w:t>四、到货检验、安装与调试</w:t>
      </w:r>
    </w:p>
    <w:p>
      <w:pPr>
        <w:ind w:firstLine="420"/>
        <w:jc w:val="both"/>
      </w:pPr>
      <w:r>
        <w:rPr>
          <w:sz w:val="21"/>
        </w:rPr>
        <w:t>1.</w:t>
      </w:r>
      <w:r>
        <w:rPr>
          <w:sz w:val="21"/>
        </w:rPr>
        <w:t>货物的到货检验包括：型号、规格、数量、外观质量及货物包装完整无破损，在货物抵达交货目的地后，甲乙双方就货物外观质量、规格和型号进行初步检验。货物为原厂商未启封全新包装，具有出厂合格证，序列号、包装箱号与出厂批号一致，并可追索查阅。所有随货物的附件必须齐全。如果发现到货的外观质量、规格和型号与合同不符，甲方有权拒收货物，并可向乙方索赔。</w:t>
      </w:r>
    </w:p>
    <w:p>
      <w:pPr>
        <w:ind w:firstLine="420"/>
        <w:jc w:val="both"/>
      </w:pPr>
      <w:r>
        <w:rPr>
          <w:sz w:val="21"/>
        </w:rPr>
        <w:t>2.</w:t>
      </w:r>
      <w:r>
        <w:rPr>
          <w:sz w:val="21"/>
        </w:rPr>
        <w:t>除非甲方另有通知，乙方应按照合同的要求以及合同执行计划的时间安排，派出足够的人员进行现场安装和负责调试工作。</w:t>
      </w:r>
    </w:p>
    <w:p>
      <w:pPr>
        <w:ind w:firstLine="420"/>
        <w:jc w:val="both"/>
      </w:pPr>
      <w:r>
        <w:rPr>
          <w:sz w:val="21"/>
        </w:rPr>
        <w:t>3.</w:t>
      </w:r>
      <w:r>
        <w:rPr>
          <w:sz w:val="21"/>
        </w:rPr>
        <w:t>乙方必须依照招标文件的要求和报价文件的承诺，将货物安装并调试至正常运行的最佳状态。</w:t>
      </w:r>
    </w:p>
    <w:p>
      <w:pPr>
        <w:ind w:firstLine="420"/>
        <w:jc w:val="both"/>
      </w:pPr>
      <w:r>
        <w:rPr>
          <w:sz w:val="21"/>
        </w:rPr>
        <w:t>4.</w:t>
      </w:r>
      <w:r>
        <w:rPr>
          <w:sz w:val="21"/>
        </w:rPr>
        <w:t>软件类产品</w:t>
      </w:r>
      <w:r>
        <w:rPr>
          <w:sz w:val="21"/>
        </w:rPr>
        <w:t>乙方应该提供软件现场安装，标准安装包括软件服务器端的安装、客户端的安装和软件</w:t>
      </w:r>
      <w:r>
        <w:rPr>
          <w:sz w:val="21"/>
        </w:rPr>
        <w:t>license</w:t>
      </w:r>
      <w:r>
        <w:rPr>
          <w:sz w:val="21"/>
        </w:rPr>
        <w:t>的安装；在服务器上的软件安装需要服务器供应商的工程师配合</w:t>
      </w:r>
      <w:r>
        <w:rPr>
          <w:sz w:val="21"/>
        </w:rPr>
        <w:t>。</w:t>
      </w:r>
    </w:p>
    <w:p>
      <w:pPr>
        <w:jc w:val="both"/>
      </w:pPr>
      <w:r>
        <w:rPr>
          <w:b/>
          <w:sz w:val="28"/>
        </w:rPr>
        <w:t>五、验收</w:t>
      </w:r>
    </w:p>
    <w:p>
      <w:pPr>
        <w:ind w:firstLine="420"/>
        <w:jc w:val="both"/>
      </w:pPr>
      <w:r>
        <w:rPr>
          <w:sz w:val="21"/>
        </w:rPr>
        <w:t>1.</w:t>
      </w:r>
      <w:r>
        <w:rPr>
          <w:sz w:val="21"/>
        </w:rPr>
        <w:t>合同货物安装和调试完毕后，按照本合同规定的技术规格、制造商的技术规范进行初步验收，验收合格后货物移交甲方使用部门签收，双方签署验收合格证明书一式二份，双方各执一份。</w:t>
      </w:r>
    </w:p>
    <w:p>
      <w:pPr>
        <w:ind w:firstLine="420"/>
        <w:jc w:val="both"/>
      </w:pPr>
      <w:r>
        <w:rPr>
          <w:sz w:val="21"/>
        </w:rPr>
        <w:t>2.</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ind w:firstLine="420"/>
        <w:jc w:val="both"/>
      </w:pPr>
      <w:r>
        <w:rPr>
          <w:sz w:val="21"/>
        </w:rPr>
        <w:t>3.</w:t>
      </w:r>
      <w:r>
        <w:rPr>
          <w:sz w:val="21"/>
        </w:rPr>
        <w:t>国内货物必须具备出厂合格证。</w:t>
      </w:r>
    </w:p>
    <w:p>
      <w:pPr>
        <w:ind w:firstLine="420"/>
        <w:jc w:val="both"/>
      </w:pPr>
      <w:r>
        <w:rPr>
          <w:sz w:val="21"/>
        </w:rPr>
        <w:t>4.</w:t>
      </w:r>
      <w:r>
        <w:rPr>
          <w:sz w:val="21"/>
        </w:rPr>
        <w:t>乙方应将货物的用户手册、保修手册、有关单证资料及配备件、随机工具等交付给甲方，使用操作及安全须知等重要资料应附有中文说明。</w:t>
      </w:r>
    </w:p>
    <w:p>
      <w:pPr>
        <w:ind w:firstLine="420"/>
        <w:jc w:val="both"/>
      </w:pPr>
      <w:r>
        <w:rPr>
          <w:sz w:val="21"/>
        </w:rPr>
        <w:t>5.</w:t>
      </w:r>
      <w:r>
        <w:rPr>
          <w:sz w:val="21"/>
        </w:rPr>
        <w:t>货物验收所发生的检测等有关费用由乙方负担。</w:t>
      </w:r>
    </w:p>
    <w:p>
      <w:pPr>
        <w:ind w:firstLine="420"/>
        <w:jc w:val="both"/>
      </w:pPr>
      <w:r>
        <w:rPr>
          <w:sz w:val="21"/>
        </w:rPr>
        <w:t>6.</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ind w:firstLine="420"/>
        <w:jc w:val="both"/>
      </w:pPr>
      <w:r>
        <w:rPr>
          <w:sz w:val="21"/>
        </w:rPr>
        <w:t>7.</w:t>
      </w:r>
      <w:r>
        <w:rPr>
          <w:sz w:val="21"/>
        </w:rPr>
        <w:t>在货物安装调试完成15日内，使用单位无故不进行验收工作，视同已安装调试完成并验收合格。</w:t>
      </w:r>
    </w:p>
    <w:p>
      <w:pPr>
        <w:jc w:val="both"/>
      </w:pPr>
      <w:r>
        <w:rPr>
          <w:b/>
          <w:sz w:val="28"/>
        </w:rPr>
        <w:t>六、付款</w:t>
      </w:r>
    </w:p>
    <w:p>
      <w:pPr>
        <w:ind w:firstLine="420"/>
        <w:jc w:val="both"/>
      </w:pPr>
      <w:r>
        <w:rPr>
          <w:sz w:val="21"/>
        </w:rPr>
        <w:t>从中国关境内提供货物的：</w:t>
      </w:r>
    </w:p>
    <w:p>
      <w:pPr>
        <w:ind w:firstLine="420"/>
        <w:jc w:val="both"/>
      </w:pPr>
      <w:r>
        <w:rPr>
          <w:sz w:val="21"/>
        </w:rPr>
        <w:t>1</w:t>
      </w:r>
      <w:r>
        <w:rPr>
          <w:sz w:val="21"/>
        </w:rPr>
        <w:t>、合同生效后，乙方开出以甲方为受益人的“见索即付”形式的预付款银行保函，保函金额为合同金额人民币</w:t>
      </w:r>
      <w:r>
        <w:rPr>
          <w:b/>
          <w:sz w:val="21"/>
        </w:rPr>
        <w:t>(*佰*拾*万*仟*佰*拾*元整，¥****.**)</w:t>
      </w:r>
      <w:r>
        <w:rPr>
          <w:sz w:val="21"/>
        </w:rPr>
        <w:t>，保函付款条件为银行收到甲方书面索赔通知即须赔付，保函有效期为合同生效后一年；甲方收到银行保函后十个工作日内按相关规定办理支付手续。</w:t>
      </w:r>
    </w:p>
    <w:p>
      <w:pPr>
        <w:ind w:firstLine="420"/>
        <w:jc w:val="both"/>
      </w:pPr>
      <w:r>
        <w:rPr>
          <w:sz w:val="21"/>
        </w:rPr>
        <w:t>2</w:t>
      </w:r>
      <w:r>
        <w:rPr>
          <w:sz w:val="21"/>
        </w:rPr>
        <w:t>、乙方在货款结算时需交纳合同总金额5%</w:t>
      </w:r>
      <w:r>
        <w:rPr>
          <w:b/>
          <w:sz w:val="21"/>
        </w:rPr>
        <w:t>（人民币*佰*拾*万*仟*佰*拾*元整，¥ ****.**）</w:t>
      </w:r>
      <w:r>
        <w:rPr>
          <w:sz w:val="21"/>
        </w:rPr>
        <w:t>的履约保证金给甲方，乙方在保修期间能履行保修条款及服务承诺，保修期满，甲方收到乙方的退还申请后即不计利息返还其履约保证金。</w:t>
      </w:r>
    </w:p>
    <w:p>
      <w:pPr>
        <w:ind w:firstLine="420"/>
        <w:jc w:val="both"/>
      </w:pPr>
      <w:r>
        <w:rPr>
          <w:sz w:val="21"/>
        </w:rPr>
        <w:t>3</w:t>
      </w:r>
      <w:r>
        <w:rPr>
          <w:sz w:val="21"/>
        </w:rPr>
        <w:t>、甲方与乙方对货物进行验收合格后，乙方开具合同全额的增值税专用发票给甲方作为报账凭证。收到报账凭证及履约保证金后，甲方将银行保函原件退回给乙方，乙方自行到银行办理相关手续。</w:t>
      </w:r>
    </w:p>
    <w:p>
      <w:pPr>
        <w:jc w:val="both"/>
      </w:pPr>
      <w:r>
        <w:rPr>
          <w:b/>
          <w:sz w:val="28"/>
        </w:rPr>
        <w:t>七、培训及售后服务</w:t>
      </w:r>
    </w:p>
    <w:p>
      <w:pPr>
        <w:ind w:firstLine="420"/>
        <w:jc w:val="both"/>
      </w:pPr>
      <w:r>
        <w:rPr>
          <w:sz w:val="21"/>
        </w:rPr>
        <w:t>1.</w:t>
      </w:r>
      <w:r>
        <w:rPr>
          <w:sz w:val="21"/>
        </w:rPr>
        <w:t>乙方负责甲方使用人员的使用操作技术及维护技术的培训，</w:t>
      </w:r>
      <w:r>
        <w:rPr>
          <w:sz w:val="21"/>
        </w:rPr>
        <w:t>具体培训内容和时间安排由双方协商确定</w:t>
      </w:r>
      <w:r>
        <w:rPr>
          <w:sz w:val="21"/>
        </w:rPr>
        <w:t>。软件类产品在</w:t>
      </w:r>
      <w:r>
        <w:rPr>
          <w:sz w:val="21"/>
        </w:rPr>
        <w:t>安装完毕后，乙方需对甲方使用部门有关人员进行必要的现场培训，保证甲方使用人员能独立安装软件、软件升级并能运行算例</w:t>
      </w:r>
      <w:r>
        <w:rPr>
          <w:sz w:val="21"/>
        </w:rPr>
        <w:t>。</w:t>
      </w:r>
    </w:p>
    <w:p>
      <w:pPr>
        <w:ind w:firstLine="420"/>
        <w:jc w:val="both"/>
      </w:pPr>
      <w:r>
        <w:rPr>
          <w:sz w:val="21"/>
        </w:rPr>
        <w:t>2.</w:t>
      </w:r>
      <w:r>
        <w:rPr>
          <w:sz w:val="21"/>
        </w:rPr>
        <w:t>所有货物保修期为3年，乙方提供免费3年上门保修服务和系统维护，保修期自甲乙双方代表在货物安装调试后的验收证明文件上签字之日起计算。</w:t>
      </w:r>
    </w:p>
    <w:p>
      <w:pPr>
        <w:ind w:firstLine="420"/>
        <w:jc w:val="both"/>
      </w:pPr>
      <w:r>
        <w:rPr>
          <w:sz w:val="21"/>
        </w:rPr>
        <w:t>3.</w:t>
      </w:r>
      <w:r>
        <w:rPr>
          <w:sz w:val="21"/>
        </w:rPr>
        <w:t>保修期内，如货物或零部件因质量原因出现故障而造成短期停用时，则保修期和免费维修期相应顺延。如停用时间累计超过60天则保修期重新计算。</w:t>
      </w:r>
    </w:p>
    <w:p>
      <w:pPr>
        <w:ind w:firstLine="420"/>
        <w:jc w:val="both"/>
      </w:pPr>
      <w:r>
        <w:rPr>
          <w:sz w:val="21"/>
        </w:rPr>
        <w:t>4.</w:t>
      </w:r>
      <w:r>
        <w:rPr>
          <w:sz w:val="21"/>
        </w:rPr>
        <w:t>在保修期内，如货品非因甲方的人为原因而出现的问题由乙方负责包修、包换或包退，并承担修理、调换或退货的实际费用。</w:t>
      </w:r>
    </w:p>
    <w:p>
      <w:pPr>
        <w:ind w:firstLine="420"/>
        <w:jc w:val="both"/>
      </w:pPr>
      <w:r>
        <w:rPr>
          <w:sz w:val="21"/>
        </w:rPr>
        <w:t>5.</w:t>
      </w:r>
      <w:r>
        <w:rPr>
          <w:sz w:val="21"/>
        </w:rPr>
        <w:t>保修期内，乙方负责对其提供的货物整机进行维修和系统维护，不再收取任何费用，但非乙方责任的人为因素、自然因素（如火灾、雷击等）造成的故障除外。</w:t>
      </w:r>
    </w:p>
    <w:p>
      <w:pPr>
        <w:ind w:firstLine="420"/>
        <w:jc w:val="both"/>
      </w:pPr>
      <w:r>
        <w:rPr>
          <w:sz w:val="21"/>
        </w:rPr>
        <w:t>6.</w:t>
      </w:r>
      <w:r>
        <w:rPr>
          <w:sz w:val="21"/>
        </w:rPr>
        <w:t>货物（含软件类产品）故障报修的响应时间为2小时，且在8小时内（连同前面时间计算）</w:t>
      </w:r>
      <w:r>
        <w:rPr>
          <w:sz w:val="21"/>
        </w:rPr>
        <w:t>到达现场，</w:t>
      </w:r>
      <w:r>
        <w:rPr>
          <w:sz w:val="21"/>
        </w:rPr>
        <w:t>24</w:t>
      </w:r>
      <w:r>
        <w:rPr>
          <w:sz w:val="21"/>
        </w:rPr>
        <w:t>小时</w:t>
      </w:r>
      <w:r>
        <w:rPr>
          <w:sz w:val="21"/>
        </w:rPr>
        <w:t>内处理完毕。规定时间内未处理完毕的，乙方在48小时内提供不低于同等档次货物供用户使用至故障货物能正常使用为止。</w:t>
      </w:r>
    </w:p>
    <w:p>
      <w:pPr>
        <w:ind w:firstLine="420"/>
        <w:jc w:val="both"/>
      </w:pPr>
      <w:r>
        <w:rPr>
          <w:sz w:val="21"/>
        </w:rPr>
        <w:t>7.</w:t>
      </w:r>
      <w:r>
        <w:rPr>
          <w:sz w:val="21"/>
        </w:rPr>
        <w:t>保修期间，同一硬件一个月内连续2次出现同一故障，乙方须无偿更换同一档次货物。</w:t>
      </w:r>
    </w:p>
    <w:p>
      <w:pPr>
        <w:ind w:firstLine="420"/>
        <w:jc w:val="both"/>
      </w:pPr>
      <w:r>
        <w:rPr>
          <w:sz w:val="21"/>
        </w:rPr>
        <w:t>8.</w:t>
      </w:r>
      <w:r>
        <w:rPr>
          <w:sz w:val="21"/>
        </w:rPr>
        <w:t>负责维修的单位名称</w:t>
      </w:r>
      <w:r>
        <w:rPr>
          <w:sz w:val="21"/>
        </w:rPr>
        <w:t>：   ******     公司</w:t>
      </w:r>
    </w:p>
    <w:p>
      <w:pPr>
        <w:ind w:firstLine="420"/>
        <w:jc w:val="both"/>
      </w:pPr>
      <w:r>
        <w:rPr>
          <w:sz w:val="21"/>
        </w:rPr>
        <w:t>地             址：   **  市 **   路  *  号 ** 室</w:t>
      </w:r>
    </w:p>
    <w:p>
      <w:pPr>
        <w:ind w:firstLine="420"/>
        <w:jc w:val="both"/>
      </w:pPr>
      <w:r>
        <w:rPr>
          <w:sz w:val="21"/>
        </w:rPr>
        <w:t xml:space="preserve">联      系     人：    ***           </w:t>
      </w:r>
    </w:p>
    <w:p>
      <w:pPr>
        <w:ind w:firstLine="420"/>
        <w:jc w:val="both"/>
      </w:pPr>
      <w:r>
        <w:rPr>
          <w:sz w:val="21"/>
        </w:rPr>
        <w:t xml:space="preserve">电    话：    ***       手机：***     传真：  ***  </w:t>
      </w:r>
    </w:p>
    <w:p>
      <w:pPr>
        <w:jc w:val="both"/>
      </w:pPr>
      <w:r>
        <w:rPr>
          <w:b/>
          <w:sz w:val="28"/>
        </w:rPr>
        <w:t>八、违约责任</w:t>
      </w:r>
    </w:p>
    <w:p>
      <w:pPr>
        <w:ind w:firstLine="420"/>
        <w:jc w:val="both"/>
      </w:pPr>
      <w:r>
        <w:rPr>
          <w:sz w:val="21"/>
        </w:rPr>
        <w:t>1.</w:t>
      </w:r>
      <w:r>
        <w:rPr>
          <w:sz w:val="21"/>
        </w:rPr>
        <w:t>甲方无正当理由拒收货物，甲方向乙方偿付货款总值的5%的违约金。</w:t>
      </w:r>
    </w:p>
    <w:p>
      <w:pPr>
        <w:ind w:firstLine="420"/>
        <w:jc w:val="both"/>
      </w:pPr>
      <w:r>
        <w:rPr>
          <w:sz w:val="21"/>
        </w:rPr>
        <w:t>2.</w:t>
      </w:r>
      <w:r>
        <w:rPr>
          <w:sz w:val="21"/>
        </w:rPr>
        <w:t>甲方逾期支付货物款的，每逾期1天，甲方向乙方偿付欠款总额的3‰的滞纳金，累计滞纳金总额不超过欠款总额的5%（因乙方原因造成甲方逾期支付的，由乙方承担违约责任）。</w:t>
      </w:r>
    </w:p>
    <w:p>
      <w:pPr>
        <w:ind w:firstLine="420"/>
        <w:jc w:val="both"/>
      </w:pPr>
      <w:r>
        <w:rPr>
          <w:sz w:val="21"/>
        </w:rPr>
        <w:t>3.</w:t>
      </w:r>
      <w:r>
        <w:rPr>
          <w:sz w:val="21"/>
        </w:rPr>
        <w:t>乙方所交的货物品种、型号、规格不符合合同规定的，甲方有权拒收货物，乙方应向甲方支付货款总额5%的违约金。</w:t>
      </w:r>
    </w:p>
    <w:p>
      <w:pPr>
        <w:ind w:firstLine="420"/>
        <w:jc w:val="both"/>
      </w:pPr>
      <w:r>
        <w:rPr>
          <w:sz w:val="21"/>
        </w:rPr>
        <w:t>4.</w:t>
      </w:r>
      <w:r>
        <w:rPr>
          <w:sz w:val="21"/>
        </w:rPr>
        <w:t>乙方逾期交货的，每逾期1天，乙方向甲方偿付逾期交货部分货款总额3‰的滞纳金，累计滞纳金总额不超过逾期交货部分货款总额的5%。乙方逾期交货超过15天，甲方有权终止合同。</w:t>
      </w:r>
    </w:p>
    <w:p>
      <w:pPr>
        <w:ind w:firstLine="420"/>
        <w:jc w:val="both"/>
      </w:pPr>
      <w:r>
        <w:rPr>
          <w:sz w:val="21"/>
        </w:rPr>
        <w:t>5.</w:t>
      </w:r>
      <w:r>
        <w:rPr>
          <w:sz w:val="21"/>
        </w:rPr>
        <w:t>乙方如没有按合同规定履行售后服务承诺，甲方可请第三方单位进行修复，其费用全部由乙方支付，否则，甲方将没收乙方已交纳的保修保证金，并追究乙方违约的法律责任。</w:t>
      </w:r>
    </w:p>
    <w:p>
      <w:pPr>
        <w:jc w:val="both"/>
      </w:pPr>
      <w:r>
        <w:rPr>
          <w:b/>
          <w:sz w:val="28"/>
        </w:rPr>
        <w:t>九、合同的仲裁</w:t>
      </w:r>
    </w:p>
    <w:p>
      <w:pPr>
        <w:ind w:firstLine="420"/>
        <w:jc w:val="both"/>
      </w:pPr>
      <w:r>
        <w:rPr>
          <w:sz w:val="21"/>
        </w:rPr>
        <w:t>1.</w:t>
      </w:r>
      <w:r>
        <w:rPr>
          <w:sz w:val="21"/>
        </w:rPr>
        <w:t>因货物的质量问题发生争议，由广东省质量监督局或其指定的质量鉴定单位进行质量鉴定、货物符合质量标准的，鉴定费由甲方承担，货物不符合质量标准的，鉴定费由乙方承担。</w:t>
      </w:r>
    </w:p>
    <w:p>
      <w:pPr>
        <w:ind w:firstLine="420"/>
        <w:jc w:val="both"/>
      </w:pPr>
      <w:r>
        <w:rPr>
          <w:sz w:val="21"/>
        </w:rPr>
        <w:t>2.</w:t>
      </w:r>
      <w:r>
        <w:rPr>
          <w:sz w:val="21"/>
        </w:rPr>
        <w:t>凡与本合同有关而引起的一切争议，双方应首先通过友好协商解决，如经协商后仍不能达成协议时，任何一方可以向法院提出诉讼。</w:t>
      </w:r>
    </w:p>
    <w:p>
      <w:pPr>
        <w:ind w:firstLine="420"/>
        <w:jc w:val="both"/>
      </w:pPr>
      <w:r>
        <w:rPr>
          <w:sz w:val="21"/>
        </w:rPr>
        <w:t>3.</w:t>
      </w:r>
      <w:r>
        <w:rPr>
          <w:sz w:val="21"/>
        </w:rPr>
        <w:t>本合同的诉讼管辖地为广州市合同履行地的管辖人民法院。</w:t>
      </w:r>
    </w:p>
    <w:p>
      <w:pPr>
        <w:jc w:val="both"/>
      </w:pPr>
      <w:r>
        <w:rPr>
          <w:b/>
          <w:sz w:val="28"/>
        </w:rPr>
        <w:t>十、合同生效、失效与终止</w:t>
      </w:r>
    </w:p>
    <w:p>
      <w:pPr>
        <w:ind w:firstLine="420"/>
        <w:jc w:val="both"/>
      </w:pPr>
      <w:r>
        <w:rPr>
          <w:sz w:val="21"/>
        </w:rPr>
        <w:t>1.</w:t>
      </w:r>
      <w:r>
        <w:rPr>
          <w:sz w:val="21"/>
        </w:rPr>
        <w:t>合同生效：合同经双方授权代表签字并经单位盖章；合同生效日期以后一个签字的日期为准。</w:t>
      </w:r>
    </w:p>
    <w:p>
      <w:pPr>
        <w:ind w:firstLine="420"/>
        <w:jc w:val="both"/>
      </w:pPr>
      <w:r>
        <w:rPr>
          <w:sz w:val="21"/>
        </w:rPr>
        <w:t>2.</w:t>
      </w:r>
      <w:r>
        <w:rPr>
          <w:sz w:val="21"/>
        </w:rPr>
        <w:t>如果由于人力不可抗拒的因素而造成合同终止履行。甲方应立即以书面形式向乙方通告。乙方在收到有关通告后，立即停止货物的制造或采购。对于在收到通告前乙方所完成的内容，甲方应及时向乙方支付相应金额，双方办理结算手续后，合同宣告失效。</w:t>
      </w:r>
    </w:p>
    <w:p>
      <w:pPr>
        <w:ind w:firstLine="420"/>
        <w:jc w:val="both"/>
      </w:pPr>
      <w:r>
        <w:rPr>
          <w:sz w:val="21"/>
        </w:rPr>
        <w:t>3.</w:t>
      </w:r>
      <w:r>
        <w:rPr>
          <w:sz w:val="21"/>
        </w:rPr>
        <w:t>因一方原因，合同无法继续履行时，应及时通知合同另一方办理合同终止协议，并由责任方赔偿对方由此造成的经济损失。</w:t>
      </w:r>
    </w:p>
    <w:p>
      <w:pPr>
        <w:ind w:firstLine="420"/>
        <w:jc w:val="both"/>
      </w:pPr>
      <w:r>
        <w:rPr>
          <w:sz w:val="21"/>
        </w:rPr>
        <w:t>4.</w:t>
      </w:r>
      <w:r>
        <w:rPr>
          <w:sz w:val="21"/>
        </w:rPr>
        <w:t>如果一方严重违反合同约定，则合同另一方可依法终止合同，并及时通知对方。</w:t>
      </w:r>
    </w:p>
    <w:p>
      <w:pPr>
        <w:jc w:val="both"/>
      </w:pPr>
      <w:r>
        <w:rPr>
          <w:b/>
          <w:sz w:val="28"/>
        </w:rPr>
        <w:t>十一、其他约定条款</w:t>
      </w:r>
    </w:p>
    <w:p>
      <w:pPr>
        <w:ind w:firstLine="420"/>
        <w:jc w:val="both"/>
      </w:pPr>
      <w:r>
        <w:rPr>
          <w:sz w:val="21"/>
        </w:rPr>
        <w:t>1.</w:t>
      </w:r>
      <w:r>
        <w:rPr>
          <w:sz w:val="21"/>
        </w:rPr>
        <w:t>开标结果通知书、投标文件、招标文件及本合同之所有附件均为组成部分，与本合同具有同样法律效力，解释的顺序以文件生成时间在后的为准。</w:t>
      </w:r>
    </w:p>
    <w:p>
      <w:pPr>
        <w:ind w:firstLine="420"/>
        <w:jc w:val="both"/>
      </w:pPr>
      <w:r>
        <w:rPr>
          <w:sz w:val="21"/>
        </w:rPr>
        <w:t>2.</w:t>
      </w:r>
      <w:r>
        <w:rPr>
          <w:sz w:val="21"/>
        </w:rPr>
        <w:t>在执行本合同的过程中，所有经甲乙双方签署确认的文件（包括会议纪要、补充协议、合同修改书、往来信函等）均为本合同的有效组成部分，其生效日期为双方均签字盖章或确认之日。</w:t>
      </w:r>
    </w:p>
    <w:p>
      <w:pPr>
        <w:ind w:firstLine="420"/>
        <w:jc w:val="both"/>
      </w:pPr>
      <w:r>
        <w:rPr>
          <w:sz w:val="21"/>
        </w:rPr>
        <w:t>3.</w:t>
      </w:r>
      <w:r>
        <w:rPr>
          <w:sz w:val="21"/>
        </w:rPr>
        <w:t>除甲方事先以书面形式确认同意外，乙方不得部分或全部转让其应履行的合同项下的义务。</w:t>
      </w:r>
    </w:p>
    <w:p>
      <w:pPr>
        <w:ind w:firstLine="420"/>
        <w:jc w:val="both"/>
      </w:pPr>
      <w:r>
        <w:rPr>
          <w:sz w:val="21"/>
        </w:rPr>
        <w:t>4.</w:t>
      </w:r>
      <w:r>
        <w:rPr>
          <w:sz w:val="21"/>
        </w:rPr>
        <w:t>如一方地址、电话、银行账号信息有变更，应在变更当日内书面通知对方，否则，应承担相应责任</w:t>
      </w:r>
      <w:r>
        <w:rPr>
          <w:sz w:val="21"/>
        </w:rPr>
        <w:t>。</w:t>
      </w:r>
    </w:p>
    <w:p>
      <w:pPr>
        <w:ind w:firstLine="420"/>
        <w:jc w:val="both"/>
      </w:pPr>
      <w:r>
        <w:rPr>
          <w:sz w:val="21"/>
        </w:rPr>
        <w:t>5.</w:t>
      </w:r>
      <w:r>
        <w:rPr>
          <w:sz w:val="21"/>
        </w:rPr>
        <w:t>本合同书一式四份，均为正本，具有同等法律效力，甲方执三份，乙方执一份。</w:t>
      </w:r>
    </w:p>
    <w:tbl>
      <w:tblPr>
        <w:tblW w:w="0" w:type="auto"/>
        <w:tblBorders>
          <w:top w:val="none" w:color="000000" w:sz="4"/>
          <w:left w:val="none" w:color="000000" w:sz="4"/>
          <w:bottom w:val="none" w:color="000000" w:sz="4"/>
          <w:right w:val="none" w:color="000000" w:sz="4"/>
          <w:insideH w:val="none"/>
          <w:insideV w:val="none"/>
        </w:tblBorders>
      </w:tblPr>
      <w:tblGrid>
        <w:gridCol w:w="1620"/>
        <w:gridCol w:w="2700"/>
        <w:gridCol w:w="1620"/>
        <w:gridCol w:w="3960"/>
      </w:tblGrid>
      <w:tr>
        <w:tc>
          <w:tcPr>
            <w:tcW w:type="dxa" w:w="1620"/>
            <w:tcBorders>
              <w:top w:val="single" w:color="000000" w:sz="4"/>
              <w:left w:val="single" w:color="000000" w:sz="4"/>
              <w:bottom w:val="single" w:color="000000" w:sz="4"/>
              <w:right w:val="single" w:color="000000" w:sz="4"/>
            </w:tcBorders>
            <w:vAlign w:val="top"/>
          </w:tcPr>
          <w:p>
            <w:pPr>
              <w:jc w:val="both"/>
            </w:pPr>
            <w:r>
              <w:rPr>
                <w:sz w:val="21"/>
              </w:rPr>
              <w:t>甲　　方：</w:t>
            </w:r>
          </w:p>
        </w:tc>
        <w:tc>
          <w:tcPr>
            <w:tcW w:type="dxa" w:w="2700"/>
            <w:tcBorders>
              <w:top w:val="single" w:color="000000" w:sz="4"/>
              <w:left w:val="none" w:color="000000" w:sz="4"/>
              <w:bottom w:val="single" w:color="000000" w:sz="4"/>
              <w:right w:val="single" w:color="000000" w:sz="4"/>
            </w:tcBorders>
            <w:vAlign w:val="top"/>
          </w:tcPr>
          <w:p>
            <w:pPr>
              <w:jc w:val="both"/>
            </w:pPr>
            <w:r>
              <w:rPr>
                <w:sz w:val="21"/>
              </w:rPr>
              <w:t>广东工业大学</w:t>
            </w:r>
          </w:p>
        </w:tc>
        <w:tc>
          <w:tcPr>
            <w:tcW w:type="dxa" w:w="1620"/>
            <w:tcBorders>
              <w:top w:val="single" w:color="000000" w:sz="4"/>
              <w:left w:val="none" w:color="000000" w:sz="4"/>
              <w:bottom w:val="single" w:color="000000" w:sz="4"/>
              <w:right w:val="single" w:color="000000" w:sz="4"/>
            </w:tcBorders>
            <w:vAlign w:val="top"/>
          </w:tcPr>
          <w:p>
            <w:pPr>
              <w:jc w:val="both"/>
            </w:pPr>
            <w:r>
              <w:rPr>
                <w:sz w:val="21"/>
              </w:rPr>
              <w:t>乙　　　方：</w:t>
            </w:r>
          </w:p>
        </w:tc>
        <w:tc>
          <w:tcPr>
            <w:tcW w:type="dxa" w:w="3960"/>
            <w:tcBorders>
              <w:top w:val="single" w:color="000000" w:sz="4"/>
              <w:left w:val="none" w:color="000000" w:sz="4"/>
              <w:bottom w:val="single" w:color="000000" w:sz="4"/>
              <w:right w:val="single" w:color="000000" w:sz="4"/>
            </w:tcBorders>
            <w:vAlign w:val="top"/>
          </w:tcPr>
          <w:p>
            <w:pPr>
              <w:jc w:val="both"/>
            </w:pPr>
            <w:r>
              <w:rPr>
                <w:sz w:val="21"/>
              </w:rPr>
              <w:t>广州****有限公司</w:t>
            </w: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地　　址：</w:t>
            </w:r>
          </w:p>
        </w:tc>
        <w:tc>
          <w:tcPr>
            <w:tcW w:type="dxa" w:w="2700"/>
            <w:tcBorders>
              <w:top w:val="none" w:color="000000" w:sz="4"/>
              <w:left w:val="none" w:color="000000" w:sz="4"/>
              <w:bottom w:val="single" w:color="000000" w:sz="4"/>
              <w:right w:val="single" w:color="000000" w:sz="4"/>
            </w:tcBorders>
            <w:vAlign w:val="top"/>
          </w:tcPr>
          <w:p>
            <w:pPr>
              <w:jc w:val="both"/>
            </w:pPr>
            <w:r>
              <w:rPr>
                <w:sz w:val="21"/>
              </w:rPr>
              <w:t>广州市广州大学城外环西路100号</w:t>
            </w:r>
          </w:p>
        </w:tc>
        <w:tc>
          <w:tcPr>
            <w:tcW w:type="dxa" w:w="1620"/>
            <w:tcBorders>
              <w:top w:val="none" w:color="000000" w:sz="4"/>
              <w:left w:val="none" w:color="000000" w:sz="4"/>
              <w:bottom w:val="single" w:color="000000" w:sz="4"/>
              <w:right w:val="single" w:color="000000" w:sz="4"/>
            </w:tcBorders>
            <w:vAlign w:val="top"/>
          </w:tcPr>
          <w:p>
            <w:pPr>
              <w:jc w:val="both"/>
            </w:pPr>
            <w:r>
              <w:rPr>
                <w:sz w:val="21"/>
              </w:rPr>
              <w:t>地　　　址：</w:t>
            </w:r>
          </w:p>
        </w:tc>
        <w:tc>
          <w:tcPr>
            <w:tcW w:type="dxa" w:w="3960"/>
            <w:tcBorders>
              <w:top w:val="none" w:color="000000" w:sz="4"/>
              <w:left w:val="none" w:color="000000" w:sz="4"/>
              <w:bottom w:val="single" w:color="000000" w:sz="4"/>
              <w:right w:val="single" w:color="000000" w:sz="4"/>
            </w:tcBorders>
            <w:vAlign w:val="top"/>
          </w:tcPr>
          <w:p>
            <w:pPr>
              <w:jc w:val="both"/>
            </w:pPr>
            <w:r>
              <w:rPr>
                <w:sz w:val="21"/>
              </w:rPr>
              <w:t>广州市*****路429号305室</w:t>
            </w: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开户银行：</w:t>
            </w:r>
          </w:p>
        </w:tc>
        <w:tc>
          <w:tcPr>
            <w:tcW w:type="dxa" w:w="2700"/>
            <w:tcBorders>
              <w:top w:val="none" w:color="000000" w:sz="4"/>
              <w:left w:val="none" w:color="000000" w:sz="4"/>
              <w:bottom w:val="single" w:color="000000" w:sz="4"/>
              <w:right w:val="single" w:color="000000" w:sz="4"/>
            </w:tcBorders>
            <w:vAlign w:val="top"/>
          </w:tcPr>
          <w:p>
            <w:pPr>
              <w:jc w:val="both"/>
            </w:pPr>
            <w:r>
              <w:rPr>
                <w:sz w:val="21"/>
              </w:rPr>
              <w:t>广州市工行三支行</w:t>
            </w:r>
          </w:p>
        </w:tc>
        <w:tc>
          <w:tcPr>
            <w:tcW w:type="dxa" w:w="1620"/>
            <w:tcBorders>
              <w:top w:val="none" w:color="000000" w:sz="4"/>
              <w:left w:val="none" w:color="000000" w:sz="4"/>
              <w:bottom w:val="single" w:color="000000" w:sz="4"/>
              <w:right w:val="single" w:color="000000" w:sz="4"/>
            </w:tcBorders>
            <w:vAlign w:val="top"/>
          </w:tcPr>
          <w:p>
            <w:pPr>
              <w:jc w:val="both"/>
            </w:pPr>
            <w:r>
              <w:rPr>
                <w:sz w:val="21"/>
              </w:rPr>
              <w:t>开户银行：</w:t>
            </w:r>
          </w:p>
        </w:tc>
        <w:tc>
          <w:tcPr>
            <w:tcW w:type="dxa" w:w="3960"/>
            <w:tcBorders>
              <w:top w:val="none" w:color="000000" w:sz="4"/>
              <w:left w:val="none" w:color="000000" w:sz="4"/>
              <w:bottom w:val="single" w:color="000000" w:sz="4"/>
              <w:right w:val="single" w:color="000000" w:sz="4"/>
            </w:tcBorders>
            <w:vAlign w:val="top"/>
          </w:tcPr>
          <w:p>
            <w:pPr>
              <w:jc w:val="both"/>
            </w:pP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银行账号：</w:t>
            </w:r>
          </w:p>
        </w:tc>
        <w:tc>
          <w:tcPr>
            <w:tcW w:type="dxa" w:w="2700"/>
            <w:tcBorders>
              <w:top w:val="none" w:color="000000" w:sz="4"/>
              <w:left w:val="none" w:color="000000" w:sz="4"/>
              <w:bottom w:val="single" w:color="000000" w:sz="4"/>
              <w:right w:val="single" w:color="000000" w:sz="4"/>
            </w:tcBorders>
            <w:vAlign w:val="top"/>
          </w:tcPr>
          <w:p>
            <w:pPr>
              <w:jc w:val="both"/>
            </w:pPr>
            <w:r>
              <w:rPr>
                <w:sz w:val="21"/>
              </w:rPr>
              <w:t>3602028909000196985</w:t>
            </w:r>
          </w:p>
        </w:tc>
        <w:tc>
          <w:tcPr>
            <w:tcW w:type="dxa" w:w="1620"/>
            <w:tcBorders>
              <w:top w:val="none" w:color="000000" w:sz="4"/>
              <w:left w:val="none" w:color="000000" w:sz="4"/>
              <w:bottom w:val="single" w:color="000000" w:sz="4"/>
              <w:right w:val="single" w:color="000000" w:sz="4"/>
            </w:tcBorders>
            <w:vAlign w:val="top"/>
          </w:tcPr>
          <w:p>
            <w:pPr>
              <w:jc w:val="both"/>
            </w:pPr>
            <w:r>
              <w:rPr>
                <w:sz w:val="21"/>
              </w:rPr>
              <w:t>银行账号：</w:t>
            </w:r>
          </w:p>
        </w:tc>
        <w:tc>
          <w:tcPr>
            <w:tcW w:type="dxa" w:w="3960"/>
            <w:tcBorders>
              <w:top w:val="none" w:color="000000" w:sz="4"/>
              <w:left w:val="none" w:color="000000" w:sz="4"/>
              <w:bottom w:val="single" w:color="000000" w:sz="4"/>
              <w:right w:val="single" w:color="000000" w:sz="4"/>
            </w:tcBorders>
            <w:vAlign w:val="top"/>
          </w:tcPr>
          <w:p>
            <w:pPr>
              <w:jc w:val="both"/>
            </w:pP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纳税人识别号：</w:t>
            </w:r>
          </w:p>
        </w:tc>
        <w:tc>
          <w:tcPr>
            <w:tcW w:type="dxa" w:w="2700"/>
            <w:tcBorders>
              <w:top w:val="none" w:color="000000" w:sz="4"/>
              <w:left w:val="none" w:color="000000" w:sz="4"/>
              <w:bottom w:val="single" w:color="000000" w:sz="4"/>
              <w:right w:val="single" w:color="000000" w:sz="4"/>
            </w:tcBorders>
            <w:vAlign w:val="top"/>
          </w:tcPr>
          <w:p>
            <w:pPr>
              <w:jc w:val="both"/>
            </w:pPr>
            <w:r>
              <w:rPr>
                <w:sz w:val="21"/>
              </w:rPr>
              <w:t xml:space="preserve">12440000455860226X </w:t>
            </w:r>
          </w:p>
        </w:tc>
        <w:tc>
          <w:tcPr>
            <w:tcW w:type="dxa" w:w="1620"/>
            <w:tcBorders>
              <w:top w:val="none" w:color="000000" w:sz="4"/>
              <w:left w:val="none" w:color="000000" w:sz="4"/>
              <w:bottom w:val="single" w:color="000000" w:sz="4"/>
              <w:right w:val="single" w:color="000000" w:sz="4"/>
            </w:tcBorders>
            <w:vAlign w:val="top"/>
          </w:tcPr>
          <w:p>
            <w:pPr>
              <w:jc w:val="both"/>
            </w:pPr>
            <w:r>
              <w:rPr>
                <w:sz w:val="21"/>
              </w:rPr>
              <w:t>银行联行号</w:t>
            </w:r>
          </w:p>
        </w:tc>
        <w:tc>
          <w:tcPr>
            <w:tcW w:type="dxa" w:w="3960"/>
            <w:tcBorders>
              <w:top w:val="none" w:color="000000" w:sz="4"/>
              <w:left w:val="none" w:color="000000" w:sz="4"/>
              <w:bottom w:val="single" w:color="000000" w:sz="4"/>
              <w:right w:val="single" w:color="000000" w:sz="4"/>
            </w:tcBorders>
            <w:vAlign w:val="top"/>
          </w:tcPr>
          <w:p>
            <w:pPr>
              <w:jc w:val="both"/>
            </w:pPr>
            <w:r>
              <w:rPr>
                <w:sz w:val="21"/>
              </w:rPr>
              <w:t>12</w:t>
            </w:r>
            <w:r>
              <w:rPr>
                <w:sz w:val="21"/>
              </w:rPr>
              <w:t>位，必填项</w:t>
            </w: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法定代表人：</w:t>
            </w:r>
          </w:p>
        </w:tc>
        <w:tc>
          <w:tcPr>
            <w:tcW w:type="dxa" w:w="2700"/>
            <w:tcBorders>
              <w:top w:val="none" w:color="000000" w:sz="4"/>
              <w:left w:val="none" w:color="000000" w:sz="4"/>
              <w:bottom w:val="single" w:color="000000" w:sz="4"/>
              <w:right w:val="single" w:color="000000" w:sz="4"/>
            </w:tcBorders>
            <w:vAlign w:val="top"/>
          </w:tcPr>
          <w:p>
            <w:pPr>
              <w:jc w:val="both"/>
            </w:pPr>
            <w:r>
              <w:rPr>
                <w:sz w:val="21"/>
              </w:rPr>
              <w:t>邱学青</w:t>
            </w:r>
          </w:p>
        </w:tc>
        <w:tc>
          <w:tcPr>
            <w:tcW w:type="dxa" w:w="1620"/>
            <w:tcBorders>
              <w:top w:val="none" w:color="000000" w:sz="4"/>
              <w:left w:val="none" w:color="000000" w:sz="4"/>
              <w:bottom w:val="single" w:color="000000" w:sz="4"/>
              <w:right w:val="single" w:color="000000" w:sz="4"/>
            </w:tcBorders>
            <w:vAlign w:val="top"/>
          </w:tcPr>
          <w:p>
            <w:pPr>
              <w:jc w:val="both"/>
            </w:pPr>
            <w:r>
              <w:rPr>
                <w:sz w:val="21"/>
              </w:rPr>
              <w:t>法定代表人：</w:t>
            </w:r>
          </w:p>
        </w:tc>
        <w:tc>
          <w:tcPr>
            <w:tcW w:type="dxa" w:w="3960"/>
            <w:tcBorders>
              <w:top w:val="none" w:color="000000" w:sz="4"/>
              <w:left w:val="none" w:color="000000" w:sz="4"/>
              <w:bottom w:val="single" w:color="000000" w:sz="4"/>
              <w:right w:val="single" w:color="000000" w:sz="4"/>
            </w:tcBorders>
            <w:vAlign w:val="top"/>
          </w:tcPr>
          <w:p>
            <w:pPr>
              <w:jc w:val="both"/>
            </w:pP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委托代理人：</w:t>
            </w:r>
          </w:p>
        </w:tc>
        <w:tc>
          <w:tcPr>
            <w:tcW w:type="dxa" w:w="2700"/>
            <w:tcBorders>
              <w:top w:val="none" w:color="000000" w:sz="4"/>
              <w:left w:val="none" w:color="000000" w:sz="4"/>
              <w:bottom w:val="single" w:color="000000" w:sz="4"/>
              <w:right w:val="single" w:color="000000" w:sz="4"/>
            </w:tcBorders>
            <w:vAlign w:val="top"/>
          </w:tcPr>
          <w:p>
            <w:pPr>
              <w:jc w:val="both"/>
            </w:pPr>
          </w:p>
        </w:tc>
        <w:tc>
          <w:tcPr>
            <w:tcW w:type="dxa" w:w="1620"/>
            <w:tcBorders>
              <w:top w:val="none" w:color="000000" w:sz="4"/>
              <w:left w:val="none" w:color="000000" w:sz="4"/>
              <w:bottom w:val="single" w:color="000000" w:sz="4"/>
              <w:right w:val="single" w:color="000000" w:sz="4"/>
            </w:tcBorders>
            <w:vAlign w:val="top"/>
          </w:tcPr>
          <w:p>
            <w:pPr>
              <w:jc w:val="both"/>
            </w:pPr>
            <w:r>
              <w:rPr>
                <w:sz w:val="21"/>
              </w:rPr>
              <w:t>委托代理人：</w:t>
            </w:r>
          </w:p>
        </w:tc>
        <w:tc>
          <w:tcPr>
            <w:tcW w:type="dxa" w:w="3960"/>
            <w:tcBorders>
              <w:top w:val="none" w:color="000000" w:sz="4"/>
              <w:left w:val="none" w:color="000000" w:sz="4"/>
              <w:bottom w:val="single" w:color="000000" w:sz="4"/>
              <w:right w:val="single" w:color="000000" w:sz="4"/>
            </w:tcBorders>
            <w:vAlign w:val="top"/>
          </w:tcPr>
          <w:p>
            <w:pPr>
              <w:jc w:val="both"/>
            </w:pP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项目负责人：</w:t>
            </w:r>
          </w:p>
        </w:tc>
        <w:tc>
          <w:tcPr>
            <w:tcW w:type="dxa" w:w="2700"/>
            <w:tcBorders>
              <w:top w:val="none" w:color="000000" w:sz="4"/>
              <w:left w:val="none" w:color="000000" w:sz="4"/>
              <w:bottom w:val="single" w:color="000000" w:sz="4"/>
              <w:right w:val="single" w:color="000000" w:sz="4"/>
            </w:tcBorders>
            <w:vAlign w:val="top"/>
          </w:tcPr>
          <w:p>
            <w:pPr>
              <w:jc w:val="both"/>
            </w:pPr>
          </w:p>
        </w:tc>
        <w:tc>
          <w:tcPr>
            <w:tcW w:type="dxa" w:w="1620"/>
            <w:tcBorders>
              <w:top w:val="none" w:color="000000" w:sz="4"/>
              <w:left w:val="none" w:color="000000" w:sz="4"/>
              <w:bottom w:val="single" w:color="000000" w:sz="4"/>
              <w:right w:val="single" w:color="000000" w:sz="4"/>
            </w:tcBorders>
            <w:vAlign w:val="top"/>
          </w:tcPr>
          <w:p>
            <w:pPr>
              <w:jc w:val="both"/>
            </w:pPr>
          </w:p>
        </w:tc>
        <w:tc>
          <w:tcPr>
            <w:tcW w:type="dxa" w:w="3960"/>
            <w:tcBorders>
              <w:top w:val="none" w:color="000000" w:sz="4"/>
              <w:left w:val="none" w:color="000000" w:sz="4"/>
              <w:bottom w:val="single" w:color="000000" w:sz="4"/>
              <w:right w:val="single" w:color="000000" w:sz="4"/>
            </w:tcBorders>
            <w:vAlign w:val="top"/>
          </w:tcPr>
          <w:p>
            <w:pPr>
              <w:jc w:val="both"/>
            </w:pP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经  办  人：</w:t>
            </w:r>
          </w:p>
        </w:tc>
        <w:tc>
          <w:tcPr>
            <w:tcW w:type="dxa" w:w="2700"/>
            <w:tcBorders>
              <w:top w:val="none" w:color="000000" w:sz="4"/>
              <w:left w:val="none" w:color="000000" w:sz="4"/>
              <w:bottom w:val="single" w:color="000000" w:sz="4"/>
              <w:right w:val="single" w:color="000000" w:sz="4"/>
            </w:tcBorders>
            <w:vAlign w:val="top"/>
          </w:tcPr>
          <w:p>
            <w:pPr>
              <w:jc w:val="both"/>
            </w:pPr>
          </w:p>
        </w:tc>
        <w:tc>
          <w:tcPr>
            <w:tcW w:type="dxa" w:w="1620"/>
            <w:tcBorders>
              <w:top w:val="none" w:color="000000" w:sz="4"/>
              <w:left w:val="none" w:color="000000" w:sz="4"/>
              <w:bottom w:val="single" w:color="000000" w:sz="4"/>
              <w:right w:val="single" w:color="000000" w:sz="4"/>
            </w:tcBorders>
            <w:vAlign w:val="top"/>
          </w:tcPr>
          <w:p>
            <w:pPr>
              <w:jc w:val="both"/>
            </w:pPr>
          </w:p>
        </w:tc>
        <w:tc>
          <w:tcPr>
            <w:tcW w:type="dxa" w:w="3960"/>
            <w:tcBorders>
              <w:top w:val="none" w:color="000000" w:sz="4"/>
              <w:left w:val="none" w:color="000000" w:sz="4"/>
              <w:bottom w:val="single" w:color="000000" w:sz="4"/>
              <w:right w:val="single" w:color="000000" w:sz="4"/>
            </w:tcBorders>
            <w:vAlign w:val="top"/>
          </w:tcPr>
          <w:p>
            <w:pPr>
              <w:jc w:val="both"/>
            </w:pP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电　　  话：</w:t>
            </w:r>
          </w:p>
        </w:tc>
        <w:tc>
          <w:tcPr>
            <w:tcW w:type="dxa" w:w="2700"/>
            <w:tcBorders>
              <w:top w:val="none" w:color="000000" w:sz="4"/>
              <w:left w:val="none" w:color="000000" w:sz="4"/>
              <w:bottom w:val="single" w:color="000000" w:sz="4"/>
              <w:right w:val="single" w:color="000000" w:sz="4"/>
            </w:tcBorders>
            <w:vAlign w:val="top"/>
          </w:tcPr>
          <w:p>
            <w:pPr>
              <w:jc w:val="both"/>
            </w:pPr>
            <w:r>
              <w:rPr>
                <w:sz w:val="21"/>
              </w:rPr>
              <w:t>020-39322383/39322698</w:t>
            </w:r>
          </w:p>
        </w:tc>
        <w:tc>
          <w:tcPr>
            <w:tcW w:type="dxa" w:w="1620"/>
            <w:tcBorders>
              <w:top w:val="none" w:color="000000" w:sz="4"/>
              <w:left w:val="none" w:color="000000" w:sz="4"/>
              <w:bottom w:val="single" w:color="000000" w:sz="4"/>
              <w:right w:val="single" w:color="000000" w:sz="4"/>
            </w:tcBorders>
            <w:vAlign w:val="top"/>
          </w:tcPr>
          <w:p>
            <w:pPr>
              <w:jc w:val="both"/>
            </w:pPr>
            <w:r>
              <w:rPr>
                <w:sz w:val="21"/>
              </w:rPr>
              <w:t>电      话：</w:t>
            </w:r>
          </w:p>
        </w:tc>
        <w:tc>
          <w:tcPr>
            <w:tcW w:type="dxa" w:w="3960"/>
            <w:tcBorders>
              <w:top w:val="none" w:color="000000" w:sz="4"/>
              <w:left w:val="none" w:color="000000" w:sz="4"/>
              <w:bottom w:val="single" w:color="000000" w:sz="4"/>
              <w:right w:val="single" w:color="000000" w:sz="4"/>
            </w:tcBorders>
            <w:vAlign w:val="top"/>
          </w:tcPr>
          <w:p>
            <w:pPr>
              <w:jc w:val="both"/>
            </w:pPr>
            <w:r>
              <w:rPr>
                <w:sz w:val="21"/>
              </w:rPr>
              <w:t>020-</w:t>
            </w:r>
            <w:r>
              <w:rPr>
                <w:sz w:val="21"/>
              </w:rPr>
              <w:t>********</w:t>
            </w:r>
          </w:p>
        </w:tc>
      </w:tr>
      <w:tr>
        <w:tc>
          <w:tcPr>
            <w:tcW w:type="dxa" w:w="1620"/>
            <w:tcBorders>
              <w:top w:val="none" w:color="000000" w:sz="4"/>
              <w:left w:val="single" w:color="000000" w:sz="4"/>
              <w:bottom w:val="single" w:color="000000" w:sz="4"/>
              <w:right w:val="single" w:color="000000" w:sz="4"/>
            </w:tcBorders>
            <w:vAlign w:val="top"/>
          </w:tcPr>
          <w:p>
            <w:pPr>
              <w:jc w:val="both"/>
            </w:pPr>
            <w:r>
              <w:rPr>
                <w:sz w:val="21"/>
              </w:rPr>
              <w:t>签 订 时间：</w:t>
            </w:r>
          </w:p>
        </w:tc>
        <w:tc>
          <w:tcPr>
            <w:tcW w:type="dxa" w:w="2700"/>
            <w:tcBorders>
              <w:top w:val="none" w:color="000000" w:sz="4"/>
              <w:left w:val="none" w:color="000000" w:sz="4"/>
              <w:bottom w:val="single" w:color="000000" w:sz="4"/>
              <w:right w:val="single" w:color="000000" w:sz="4"/>
            </w:tcBorders>
            <w:vAlign w:val="top"/>
          </w:tcPr>
          <w:p>
            <w:pPr>
              <w:jc w:val="both"/>
            </w:pPr>
            <w:r>
              <w:rPr>
                <w:sz w:val="21"/>
              </w:rPr>
              <w:t xml:space="preserve">20 </w:t>
            </w:r>
            <w:r>
              <w:rPr>
                <w:sz w:val="21"/>
              </w:rPr>
              <w:t>年   月   日</w:t>
            </w:r>
          </w:p>
        </w:tc>
        <w:tc>
          <w:tcPr>
            <w:tcW w:type="dxa" w:w="1620"/>
            <w:tcBorders>
              <w:top w:val="none" w:color="000000" w:sz="4"/>
              <w:left w:val="none" w:color="000000" w:sz="4"/>
              <w:bottom w:val="single" w:color="000000" w:sz="4"/>
              <w:right w:val="single" w:color="000000" w:sz="4"/>
            </w:tcBorders>
            <w:vAlign w:val="top"/>
          </w:tcPr>
          <w:p>
            <w:pPr>
              <w:jc w:val="both"/>
            </w:pPr>
            <w:r>
              <w:rPr>
                <w:sz w:val="21"/>
              </w:rPr>
              <w:t>签 订 时间：</w:t>
            </w:r>
          </w:p>
        </w:tc>
        <w:tc>
          <w:tcPr>
            <w:tcW w:type="dxa" w:w="3960"/>
            <w:tcBorders>
              <w:top w:val="none" w:color="000000" w:sz="4"/>
              <w:left w:val="none" w:color="000000" w:sz="4"/>
              <w:bottom w:val="single" w:color="000000" w:sz="4"/>
              <w:right w:val="single" w:color="000000" w:sz="4"/>
            </w:tcBorders>
            <w:vAlign w:val="top"/>
          </w:tcPr>
          <w:p>
            <w:pPr>
              <w:jc w:val="both"/>
            </w:pPr>
            <w:r>
              <w:rPr>
                <w:sz w:val="21"/>
              </w:rPr>
              <w:t xml:space="preserve">20 </w:t>
            </w:r>
            <w:r>
              <w:rPr>
                <w:sz w:val="21"/>
              </w:rPr>
              <w:t>年   月   日</w:t>
            </w:r>
          </w:p>
        </w:tc>
      </w:tr>
    </w:tbl>
    <w:p/>
    <w:p>
      <w:pPr>
        <w:jc w:val="both"/>
      </w:pPr>
      <w:r>
        <w:rPr>
          <w:b/>
          <w:sz w:val="28"/>
        </w:rPr>
        <w:t>附件.</w:t>
      </w:r>
      <w:r>
        <w:rPr>
          <w:b/>
          <w:sz w:val="28"/>
        </w:rPr>
        <w:t>详细配置清单及技术指标</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25"/>
        <w:gridCol w:w="2025"/>
        <w:gridCol w:w="7095"/>
      </w:tblGrid>
      <w:tr>
        <w:tc>
          <w:tcPr>
            <w:tcW w:type="dxa" w:w="825"/>
            <w:tcBorders>
              <w:top w:val="single" w:color="000000" w:sz="4"/>
              <w:left w:val="single" w:color="000000" w:sz="4"/>
              <w:bottom w:val="single" w:color="000000" w:sz="4"/>
              <w:right w:val="single" w:color="000000" w:sz="4"/>
            </w:tcBorders>
          </w:tcPr>
          <w:p>
            <w:pPr>
              <w:jc w:val="center"/>
            </w:pPr>
            <w:r>
              <w:rPr>
                <w:b/>
                <w:sz w:val="24"/>
              </w:rPr>
              <w:t>序号</w:t>
            </w:r>
          </w:p>
        </w:tc>
        <w:tc>
          <w:tcPr>
            <w:tcW w:type="dxa" w:w="2025"/>
            <w:tcBorders>
              <w:top w:val="single" w:color="000000" w:sz="4"/>
              <w:left w:val="none" w:color="000000" w:sz="4"/>
              <w:bottom w:val="single" w:color="000000" w:sz="4"/>
              <w:right w:val="single" w:color="000000" w:sz="4"/>
            </w:tcBorders>
          </w:tcPr>
          <w:p>
            <w:pPr>
              <w:jc w:val="center"/>
            </w:pPr>
            <w:r>
              <w:rPr>
                <w:b/>
                <w:sz w:val="24"/>
              </w:rPr>
              <w:t>名称</w:t>
            </w:r>
          </w:p>
        </w:tc>
        <w:tc>
          <w:tcPr>
            <w:tcW w:type="dxa" w:w="7095"/>
            <w:tcBorders>
              <w:top w:val="single" w:color="000000" w:sz="4"/>
              <w:left w:val="none" w:color="000000" w:sz="4"/>
              <w:bottom w:val="single" w:color="000000" w:sz="4"/>
              <w:right w:val="single" w:color="000000" w:sz="4"/>
            </w:tcBorders>
          </w:tcPr>
          <w:p>
            <w:pPr>
              <w:jc w:val="center"/>
            </w:pPr>
            <w:r>
              <w:rPr>
                <w:b/>
                <w:sz w:val="24"/>
              </w:rPr>
              <w:t>详细配置清单及技术指标</w:t>
            </w:r>
          </w:p>
        </w:tc>
      </w:tr>
      <w:tr>
        <w:tc>
          <w:tcPr>
            <w:tcW w:type="dxa" w:w="825"/>
            <w:tcBorders>
              <w:top w:val="none" w:color="000000" w:sz="4"/>
              <w:left w:val="single" w:color="000000" w:sz="4"/>
              <w:bottom w:val="single" w:color="000000" w:sz="4"/>
              <w:right w:val="single" w:color="000000" w:sz="4"/>
            </w:tcBorders>
          </w:tcPr>
          <w:p>
            <w:pPr>
              <w:jc w:val="center"/>
            </w:pPr>
            <w:r>
              <w:rPr>
                <w:sz w:val="21"/>
              </w:rPr>
              <w:t>1</w:t>
            </w:r>
          </w:p>
        </w:tc>
        <w:tc>
          <w:tcPr>
            <w:tcW w:type="dxa" w:w="2025"/>
            <w:tcBorders>
              <w:top w:val="none" w:color="000000" w:sz="4"/>
              <w:left w:val="none" w:color="000000" w:sz="4"/>
              <w:bottom w:val="single" w:color="000000" w:sz="4"/>
              <w:right w:val="single" w:color="000000" w:sz="4"/>
            </w:tcBorders>
          </w:tcPr>
          <w:p>
            <w:pPr>
              <w:jc w:val="both"/>
            </w:pPr>
          </w:p>
        </w:tc>
        <w:tc>
          <w:tcPr>
            <w:tcW w:type="dxa" w:w="7095"/>
            <w:tcBorders>
              <w:top w:val="none" w:color="000000" w:sz="4"/>
              <w:left w:val="none" w:color="000000" w:sz="4"/>
              <w:bottom w:val="single" w:color="000000" w:sz="4"/>
              <w:right w:val="single" w:color="000000" w:sz="4"/>
            </w:tcBorders>
          </w:tcPr>
          <w:p>
            <w:pPr>
              <w:jc w:val="both"/>
            </w:pPr>
          </w:p>
        </w:tc>
      </w:tr>
      <w:tr>
        <w:tc>
          <w:tcPr>
            <w:tcW w:type="dxa" w:w="825"/>
            <w:tcBorders>
              <w:top w:val="none" w:color="000000" w:sz="4"/>
              <w:left w:val="single" w:color="000000" w:sz="4"/>
              <w:bottom w:val="single" w:color="000000" w:sz="4"/>
              <w:right w:val="single" w:color="000000" w:sz="4"/>
            </w:tcBorders>
          </w:tcPr>
          <w:p>
            <w:pPr>
              <w:jc w:val="center"/>
            </w:pPr>
            <w:r>
              <w:rPr>
                <w:sz w:val="21"/>
              </w:rPr>
              <w:t>2</w:t>
            </w:r>
          </w:p>
        </w:tc>
        <w:tc>
          <w:tcPr>
            <w:tcW w:type="dxa" w:w="2025"/>
            <w:tcBorders>
              <w:top w:val="none" w:color="000000" w:sz="4"/>
              <w:left w:val="none" w:color="000000" w:sz="4"/>
              <w:bottom w:val="single" w:color="000000" w:sz="4"/>
              <w:right w:val="single" w:color="000000" w:sz="4"/>
            </w:tcBorders>
          </w:tcPr>
          <w:p>
            <w:pPr>
              <w:jc w:val="both"/>
            </w:pPr>
          </w:p>
        </w:tc>
        <w:tc>
          <w:tcPr>
            <w:tcW w:type="dxa" w:w="7095"/>
            <w:tcBorders>
              <w:top w:val="none" w:color="000000" w:sz="4"/>
              <w:left w:val="none" w:color="000000" w:sz="4"/>
              <w:bottom w:val="single" w:color="000000" w:sz="4"/>
              <w:right w:val="single" w:color="000000" w:sz="4"/>
            </w:tcBorders>
          </w:tcPr>
          <w:p>
            <w:pPr>
              <w:jc w:val="center"/>
            </w:pPr>
          </w:p>
        </w:tc>
      </w:tr>
      <w:tr>
        <w:tc>
          <w:tcPr>
            <w:tcW w:type="dxa" w:w="825"/>
            <w:tcBorders>
              <w:top w:val="none" w:color="000000" w:sz="4"/>
              <w:left w:val="single" w:color="000000" w:sz="4"/>
              <w:bottom w:val="single" w:color="000000" w:sz="4"/>
              <w:right w:val="single" w:color="000000" w:sz="4"/>
            </w:tcBorders>
          </w:tcPr>
          <w:p>
            <w:pPr>
              <w:jc w:val="center"/>
            </w:pPr>
            <w:r>
              <w:rPr>
                <w:sz w:val="21"/>
              </w:rPr>
              <w:t>3</w:t>
            </w:r>
          </w:p>
        </w:tc>
        <w:tc>
          <w:tcPr>
            <w:tcW w:type="dxa" w:w="2025"/>
            <w:tcBorders>
              <w:top w:val="none" w:color="000000" w:sz="4"/>
              <w:left w:val="none" w:color="000000" w:sz="4"/>
              <w:bottom w:val="single" w:color="000000" w:sz="4"/>
              <w:right w:val="single" w:color="000000" w:sz="4"/>
            </w:tcBorders>
          </w:tcPr>
          <w:p>
            <w:pPr>
              <w:jc w:val="both"/>
            </w:pPr>
          </w:p>
        </w:tc>
        <w:tc>
          <w:tcPr>
            <w:tcW w:type="dxa" w:w="7095"/>
            <w:tcBorders>
              <w:top w:val="none" w:color="000000" w:sz="4"/>
              <w:left w:val="none" w:color="000000" w:sz="4"/>
              <w:bottom w:val="single" w:color="000000" w:sz="4"/>
              <w:right w:val="single" w:color="000000" w:sz="4"/>
            </w:tcBorders>
          </w:tcPr>
          <w:p>
            <w:pPr>
              <w:jc w:val="center"/>
            </w:pPr>
          </w:p>
        </w:tc>
      </w:tr>
      <w:tr>
        <w:tc>
          <w:tcPr>
            <w:tcW w:type="dxa" w:w="825"/>
            <w:tcBorders>
              <w:top w:val="none" w:color="000000" w:sz="4"/>
              <w:left w:val="single" w:color="000000" w:sz="4"/>
              <w:bottom w:val="single" w:color="000000" w:sz="4"/>
              <w:right w:val="single" w:color="000000" w:sz="4"/>
            </w:tcBorders>
          </w:tcPr>
          <w:p>
            <w:pPr>
              <w:jc w:val="center"/>
            </w:pPr>
            <w:r>
              <w:rPr>
                <w:sz w:val="21"/>
              </w:rPr>
              <w:t>4</w:t>
            </w:r>
          </w:p>
        </w:tc>
        <w:tc>
          <w:tcPr>
            <w:tcW w:type="dxa" w:w="2025"/>
            <w:tcBorders>
              <w:top w:val="none" w:color="000000" w:sz="4"/>
              <w:left w:val="none" w:color="000000" w:sz="4"/>
              <w:bottom w:val="single" w:color="000000" w:sz="4"/>
              <w:right w:val="single" w:color="000000" w:sz="4"/>
            </w:tcBorders>
          </w:tcPr>
          <w:p>
            <w:pPr>
              <w:jc w:val="both"/>
            </w:pPr>
          </w:p>
        </w:tc>
        <w:tc>
          <w:tcPr>
            <w:tcW w:type="dxa" w:w="7095"/>
            <w:tcBorders>
              <w:top w:val="none" w:color="000000" w:sz="4"/>
              <w:left w:val="none" w:color="000000" w:sz="4"/>
              <w:bottom w:val="single" w:color="000000" w:sz="4"/>
              <w:right w:val="single" w:color="000000" w:sz="4"/>
            </w:tcBorders>
          </w:tcPr>
          <w:p>
            <w:pPr>
              <w:jc w:val="center"/>
            </w:pPr>
          </w:p>
        </w:tc>
      </w:tr>
      <w:tr>
        <w:tc>
          <w:tcPr>
            <w:tcW w:type="dxa" w:w="825"/>
            <w:tcBorders>
              <w:top w:val="none" w:color="000000" w:sz="4"/>
              <w:left w:val="single" w:color="000000" w:sz="4"/>
              <w:bottom w:val="single" w:color="000000" w:sz="4"/>
              <w:right w:val="single" w:color="000000" w:sz="4"/>
            </w:tcBorders>
          </w:tcPr>
          <w:p>
            <w:pPr>
              <w:jc w:val="center"/>
            </w:pPr>
            <w:r>
              <w:rPr>
                <w:sz w:val="21"/>
              </w:rPr>
              <w:t>5</w:t>
            </w:r>
          </w:p>
        </w:tc>
        <w:tc>
          <w:tcPr>
            <w:tcW w:type="dxa" w:w="2025"/>
            <w:tcBorders>
              <w:top w:val="none" w:color="000000" w:sz="4"/>
              <w:left w:val="none" w:color="000000" w:sz="4"/>
              <w:bottom w:val="single" w:color="000000" w:sz="4"/>
              <w:right w:val="single" w:color="000000" w:sz="4"/>
            </w:tcBorders>
          </w:tcPr>
          <w:p>
            <w:pPr>
              <w:jc w:val="both"/>
            </w:pPr>
          </w:p>
        </w:tc>
        <w:tc>
          <w:tcPr>
            <w:tcW w:type="dxa" w:w="7095"/>
            <w:tcBorders>
              <w:top w:val="none" w:color="000000" w:sz="4"/>
              <w:left w:val="none" w:color="000000" w:sz="4"/>
              <w:bottom w:val="single" w:color="000000" w:sz="4"/>
              <w:right w:val="single" w:color="000000" w:sz="4"/>
            </w:tcBorders>
          </w:tcPr>
          <w:p>
            <w:pPr>
              <w:jc w:val="center"/>
            </w:pPr>
          </w:p>
        </w:tc>
      </w:tr>
      <w:tr>
        <w:tc>
          <w:tcPr>
            <w:tcW w:type="dxa" w:w="825"/>
            <w:tcBorders>
              <w:top w:val="none" w:color="000000" w:sz="4"/>
              <w:left w:val="single" w:color="000000" w:sz="4"/>
              <w:bottom w:val="single" w:color="000000" w:sz="4"/>
              <w:right w:val="single" w:color="000000" w:sz="4"/>
            </w:tcBorders>
          </w:tcPr>
          <w:p>
            <w:pPr>
              <w:jc w:val="center"/>
            </w:pPr>
            <w:r>
              <w:rPr>
                <w:sz w:val="21"/>
              </w:rPr>
              <w:t>6</w:t>
            </w:r>
          </w:p>
        </w:tc>
        <w:tc>
          <w:tcPr>
            <w:tcW w:type="dxa" w:w="2025"/>
            <w:tcBorders>
              <w:top w:val="none" w:color="000000" w:sz="4"/>
              <w:left w:val="none" w:color="000000" w:sz="4"/>
              <w:bottom w:val="single" w:color="000000" w:sz="4"/>
              <w:right w:val="single" w:color="000000" w:sz="4"/>
            </w:tcBorders>
          </w:tcPr>
          <w:p>
            <w:pPr>
              <w:jc w:val="both"/>
            </w:pPr>
          </w:p>
        </w:tc>
        <w:tc>
          <w:tcPr>
            <w:tcW w:type="dxa" w:w="7095"/>
            <w:tcBorders>
              <w:top w:val="none" w:color="000000" w:sz="4"/>
              <w:left w:val="none" w:color="000000" w:sz="4"/>
              <w:bottom w:val="single" w:color="000000" w:sz="4"/>
              <w:right w:val="single" w:color="000000" w:sz="4"/>
            </w:tcBorders>
          </w:tcPr>
          <w:p>
            <w:pPr>
              <w:jc w:val="center"/>
            </w:pPr>
          </w:p>
        </w:tc>
      </w:tr>
    </w:tbl>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440001-2022-44414</w:t>
      </w:r>
    </w:p>
    <w:p>
      <w:pPr>
        <w:jc w:val="center"/>
      </w:pPr>
      <w:r>
        <w:rPr>
          <w:b/>
          <w:sz w:val="24"/>
        </w:rPr>
        <w:t>采购项目编号：</w:t>
      </w:r>
      <w:r>
        <w:rPr>
          <w:b/>
          <w:sz w:val="24"/>
        </w:rPr>
        <w:t>0835-220Z12307231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广东元正招标采购有限公司</w:t>
      </w:r>
    </w:p>
    <w:p>
      <w:pPr>
        <w:ind w:firstLine="480"/>
      </w:pPr>
      <w:r>
        <w:rPr/>
        <w:t>你方组织的</w:t>
      </w:r>
      <w:r>
        <w:rPr>
          <w:u w:val="single"/>
        </w:rPr>
        <w:t>高端芯片系统级测试分选设备采购项目</w:t>
      </w:r>
      <w:r>
        <w:rPr/>
        <w:t>项目的招标[采购项目编号为：</w:t>
      </w:r>
      <w:r>
        <w:rPr>
          <w:u w:val="single"/>
        </w:rPr>
        <w:t>0835-220Z12307231</w:t>
      </w:r>
      <w:r>
        <w:rPr/>
        <w:t>]，我方愿参与投标。</w:t>
      </w:r>
    </w:p>
    <w:p>
      <w:pPr>
        <w:ind w:firstLine="480"/>
      </w:pPr>
      <w:r>
        <w:rPr/>
        <w:t>我方确认收到贵方提供的</w:t>
      </w:r>
      <w:r>
        <w:rPr>
          <w:u w:val="single"/>
        </w:rPr>
        <w:t>高端芯片系统级测试分选设备采购项目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广东元正招标采购有限公司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高端芯片系统级测试分选设备采购项目</w:t>
      </w:r>
      <w:r>
        <w:rPr/>
        <w:t>项目采购[采购项目编号为</w:t>
      </w:r>
      <w:r>
        <w:rPr/>
        <w:t>0835-220Z12307231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广东工业大学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广东元正招标采购有限公司</w:t>
      </w:r>
    </w:p>
    <w:p>
      <w:pPr>
        <w:ind w:firstLine="480"/>
      </w:pPr>
      <w:r>
        <w:rPr/>
        <w:t>如果我方在贵采购代理机构组织的</w:t>
      </w:r>
      <w:r>
        <w:rPr/>
        <w:t>高端芯片系统级测试分选设备采购项目</w:t>
      </w:r>
      <w:r>
        <w:rPr/>
        <w:t>招标中获中标（采购项目编号：</w:t>
      </w:r>
      <w:r>
        <w:rPr/>
        <w:t>0835-220Z12307231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广东元正招标采购有限公司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广东元正招标采购有限公司</w:t>
      </w:r>
    </w:p>
    <w:p>
      <w:pPr>
        <w:ind w:firstLine="480"/>
      </w:pPr>
      <w:r>
        <w:rPr/>
        <w:t>我单位已登记并准备参与</w:t>
      </w:r>
      <w:r>
        <w:rPr/>
        <w:t>高端芯片系统级测试分选设备采购项目</w:t>
      </w:r>
      <w:r>
        <w:rPr/>
        <w:t>项目（采购项目编号：</w:t>
      </w:r>
      <w:r>
        <w:rPr/>
        <w:t>0835-220Z12307231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